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592.xml.htm"/>
      <w:bookmarkStart w:id="1" w:name="kswkform4_178708459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Baumgartner Florian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and CEO, Vista</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31"/>
        <w:gridCol w:w="454"/>
        <w:gridCol w:w="755"/>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74,385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77,935</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79,238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91,048</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8,716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94.46</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82,332</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(right to acquire)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1,691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08/15/2023</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1,691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3,550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3,550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1,303</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11,810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11,810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35,429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acquired automatically vested pursuant to an award of restricted share units (RSUs), with each RSU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 over the following four-year period: 25% of the original number of RSUs granted vest on the Date Exercisable in Table II and 6.25% of such number of RSUs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 as attorney-in-fact for Florian Baumgartner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64743"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839</Words>
  <Characters>4569</Characters>
  <CharactersWithSpaces>5257</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