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417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417310"/>
                    </a:xfrm>
                    <a:prstGeom prst="rect">
                      <a:avLst/>
                    </a:prstGeom>
                    <a:noFill/>
                  </pic:spPr>
                </pic:pic>
              </a:graphicData>
            </a:graphic>
          </wp:anchor>
        </w:drawing>
      </w:r>
    </w:p>
    <w:p>
      <w:pPr>
        <w:spacing w:after="0" w:line="1224" w:lineRule="exact"/>
        <w:rPr>
          <w:sz w:val="24"/>
          <w:szCs w:val="24"/>
          <w:color w:val="auto"/>
        </w:rPr>
      </w:pPr>
    </w:p>
    <w:p>
      <w:pPr>
        <w:sectPr>
          <w:pgSz w:w="11900" w:h="16838" w:orient="portrait"/>
          <w:cols w:equalWidth="0" w:num="2">
            <w:col w:w="2300" w:space="300"/>
            <w:col w:w="8480"/>
          </w:cols>
          <w:pgMar w:left="460" w:top="217" w:right="359" w:bottom="20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Quinn Sean Edward</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6" w:lineRule="auto"/>
        <w:rPr>
          <w:sz w:val="20"/>
          <w:szCs w:val="20"/>
          <w:color w:val="auto"/>
        </w:rPr>
      </w:pPr>
      <w:r>
        <w:rPr>
          <w:rFonts w:ascii="Times New Roman" w:cs="Times New Roman" w:eastAsia="Times New Roman" w:hAnsi="Times New Roman"/>
          <w:sz w:val="16"/>
          <w:szCs w:val="16"/>
          <w:color w:val="0000FF"/>
        </w:rPr>
        <w:t>CIMPRESS PLC, FIRST FLOOR BUILDING 3 FINNABAIR BUSINESS &amp; TECHNOLOGY PARK</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DUNDALK,</w:t>
      </w:r>
    </w:p>
    <w:p>
      <w:pPr>
        <w:spacing w:after="0" w:line="21" w:lineRule="exact"/>
        <w:rPr>
          <w:sz w:val="24"/>
          <w:szCs w:val="24"/>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COUNTY</w:t>
      </w:r>
      <w:r>
        <w:rPr>
          <w:sz w:val="20"/>
          <w:szCs w:val="20"/>
          <w:color w:val="auto"/>
        </w:rPr>
        <w:tab/>
      </w:r>
      <w:r>
        <w:rPr>
          <w:rFonts w:ascii="Times New Roman" w:cs="Times New Roman" w:eastAsia="Times New Roman" w:hAnsi="Times New Roman"/>
          <w:sz w:val="17"/>
          <w:szCs w:val="17"/>
          <w:color w:val="0000FF"/>
        </w:rPr>
        <w:t>L2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LOUTH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CIMPRESS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CMPR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3100" w:type="dxa"/>
            <w:vAlign w:val="bottom"/>
            <w:gridSpan w:val="2"/>
          </w:tcPr>
          <w:p>
            <w:pPr>
              <w:ind w:left="500"/>
              <w:spacing w:after="0" w:line="192" w:lineRule="exact"/>
              <w:rPr>
                <w:sz w:val="20"/>
                <w:szCs w:val="20"/>
                <w:color w:val="auto"/>
              </w:rPr>
            </w:pPr>
            <w:r>
              <w:rPr>
                <w:rFonts w:ascii="Times New Roman" w:cs="Times New Roman" w:eastAsia="Times New Roman" w:hAnsi="Times New Roman"/>
                <w:sz w:val="17"/>
                <w:szCs w:val="17"/>
                <w:color w:val="0000FF"/>
              </w:rPr>
              <w:t>EVP, Chief Financial Officer</w:t>
            </w:r>
          </w:p>
        </w:tc>
        <w:tc>
          <w:tcPr>
            <w:tcW w:w="0" w:type="dxa"/>
            <w:vAlign w:val="bottom"/>
          </w:tcPr>
          <w:p>
            <w:pPr>
              <w:spacing w:after="0"/>
              <w:rPr>
                <w:sz w:val="1"/>
                <w:szCs w:val="1"/>
                <w:color w:val="auto"/>
              </w:rPr>
            </w:pPr>
          </w:p>
        </w:tc>
      </w:tr>
      <w:tr>
        <w:trPr>
          <w:trHeight w:val="216"/>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80" w:space="160"/>
            <w:col w:w="7240"/>
          </w:cols>
          <w:pgMar w:left="460" w:top="217" w:right="359" w:bottom="207" w:gutter="0" w:footer="0" w:header="0"/>
          <w:type w:val="continuous"/>
        </w:sectPr>
      </w:pPr>
    </w:p>
    <w:p>
      <w:pPr>
        <w:spacing w:after="0" w:line="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72"/>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49,159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4,571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53,730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1,650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55,380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Pr>
          <w:p>
            <w:pPr>
              <w:spacing w:after="0"/>
              <w:rPr>
                <w:sz w:val="22"/>
                <w:szCs w:val="22"/>
                <w:color w:val="auto"/>
              </w:rPr>
            </w:pPr>
          </w:p>
        </w:tc>
        <w:tc>
          <w:tcPr>
            <w:tcW w:w="1680" w:type="dxa"/>
            <w:vAlign w:val="bottom"/>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3,463</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93.25</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51,917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6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right"/>
              <w:ind w:right="32"/>
              <w:spacing w:after="0" w:line="128" w:lineRule="exact"/>
              <w:rPr>
                <w:sz w:val="20"/>
                <w:szCs w:val="20"/>
                <w:color w:val="auto"/>
              </w:rPr>
            </w:pPr>
            <w:r>
              <w:rPr>
                <w:rFonts w:ascii="Arial" w:cs="Arial" w:eastAsia="Arial" w:hAnsi="Arial"/>
                <w:sz w:val="12"/>
                <w:szCs w:val="12"/>
                <w:b w:val="1"/>
                <w:bCs w:val="1"/>
                <w:color w:val="auto"/>
                <w:w w:val="91"/>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jc w:val="right"/>
              <w:ind w:right="332"/>
              <w:spacing w:after="0"/>
              <w:rPr>
                <w:sz w:val="20"/>
                <w:szCs w:val="20"/>
                <w:color w:val="auto"/>
              </w:rPr>
            </w:pPr>
            <w:r>
              <w:rPr>
                <w:rFonts w:ascii="Arial" w:cs="Arial" w:eastAsia="Arial" w:hAnsi="Arial"/>
                <w:sz w:val="12"/>
                <w:szCs w:val="12"/>
                <w:b w:val="1"/>
                <w:bCs w:val="1"/>
                <w:color w:val="auto"/>
                <w:w w:val="92"/>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Pr>
          <w:p>
            <w:pPr>
              <w:ind w:left="260"/>
              <w:spacing w:after="0" w:line="204"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2,300</w:t>
            </w:r>
          </w:p>
        </w:tc>
        <w:tc>
          <w:tcPr>
            <w:tcW w:w="8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0000FF"/>
              </w:rPr>
              <w:t>08/15/2023</w:t>
            </w:r>
            <w:r>
              <w:rPr>
                <w:rFonts w:ascii="Times New Roman" w:cs="Times New Roman" w:eastAsia="Times New Roman" w:hAnsi="Times New Roman"/>
                <w:sz w:val="21"/>
                <w:szCs w:val="21"/>
                <w:color w:val="008000"/>
                <w:vertAlign w:val="superscript"/>
              </w:rPr>
              <w:t>(3)</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2,300</w:t>
            </w:r>
          </w:p>
        </w:tc>
        <w:tc>
          <w:tcPr>
            <w:tcW w:w="40" w:type="dxa"/>
            <w:vAlign w:val="bottom"/>
          </w:tcPr>
          <w:p>
            <w:pPr>
              <w:spacing w:after="0"/>
              <w:rPr>
                <w:sz w:val="17"/>
                <w:szCs w:val="17"/>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2,299</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Shares</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acquire)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4,571</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08/15/2024</w:t>
            </w:r>
            <w:r>
              <w:rPr>
                <w:rFonts w:ascii="Times New Roman" w:cs="Times New Roman" w:eastAsia="Times New Roman" w:hAnsi="Times New Roman"/>
                <w:sz w:val="21"/>
                <w:szCs w:val="21"/>
                <w:color w:val="008000"/>
                <w:vertAlign w:val="superscript"/>
              </w:rPr>
              <w:t>(4)</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4,571</w:t>
            </w:r>
          </w:p>
        </w:tc>
        <w:tc>
          <w:tcPr>
            <w:tcW w:w="40" w:type="dxa"/>
            <w:vAlign w:val="bottom"/>
          </w:tcPr>
          <w:p>
            <w:pPr>
              <w:spacing w:after="0"/>
              <w:rPr>
                <w:sz w:val="21"/>
                <w:szCs w:val="2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4"/>
              </w:rPr>
              <w:t>22,853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1,650</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08/15/2025</w:t>
            </w:r>
            <w:r>
              <w:rPr>
                <w:rFonts w:ascii="Times New Roman" w:cs="Times New Roman" w:eastAsia="Times New Roman" w:hAnsi="Times New Roman"/>
                <w:sz w:val="21"/>
                <w:szCs w:val="21"/>
                <w:color w:val="008000"/>
                <w:vertAlign w:val="superscript"/>
              </w:rPr>
              <w:t>(4)</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1,650</w:t>
            </w:r>
          </w:p>
        </w:tc>
        <w:tc>
          <w:tcPr>
            <w:tcW w:w="40" w:type="dxa"/>
            <w:vAlign w:val="bottom"/>
          </w:tcPr>
          <w:p>
            <w:pPr>
              <w:spacing w:after="0"/>
              <w:rPr>
                <w:sz w:val="21"/>
                <w:szCs w:val="2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4"/>
              </w:rPr>
              <w:t>14,854</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-2687320</wp:posOffset>
            </wp:positionV>
            <wp:extent cx="29210" cy="269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930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acquired automatically vested pursuant to an award of restricted share units (RSUs), with each RSU representing Cimpress' commitment to issue one ordinary share.</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over the following four-year period: 25% of the original number of RSUs granted vest on the Date Exercisable in Table II and 25% of such number of RSUs vest yearly thereafter.</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E. Quinn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05/18/2026</w:t>
            </w:r>
          </w:p>
        </w:tc>
      </w:tr>
      <w:tr>
        <w:trPr>
          <w:trHeight w:val="20"/>
        </w:trPr>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1706" TargetMode="External"/><Relationship Id="rId14" Type="http://schemas.openxmlformats.org/officeDocument/2006/relationships/hyperlink" Target="http://www.sec.gov/cgi-bin/browse-edgar?action=getcompany&amp;CIK=0001262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2026-05-18T15:40:41Z</dcterms:created>
  <dcterms:modified xsi:type="dcterms:W3CDTF">2026-05-18T15:40:41Z</dcterms:modified>
</cp:coreProperties>
</file>