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5916.xml.htm"/>
      <w:bookmarkStart w:id="1" w:name="kswkform4_17866559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Keane Robert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CIMPRESS PLC, FIRST FLOOR BUILDING 3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FINNABAIR BUSINESS &amp; TECHNOLOGY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DUNDALK, COUNTY LOUTH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CIMPRESS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7"/>
        <w:gridCol w:w="931"/>
        <w:gridCol w:w="799"/>
        <w:gridCol w:w="618"/>
        <w:gridCol w:w="346"/>
        <w:gridCol w:w="826"/>
        <w:gridCol w:w="431"/>
        <w:gridCol w:w="808"/>
        <w:gridCol w:w="1136"/>
        <w:gridCol w:w="983"/>
        <w:gridCol w:w="129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2,258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80,419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4,237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76,182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97.06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76,177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28,375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RHS Delaware Holdings LLC</w:t>
            </w:r>
          </w:p>
        </w:tc>
      </w:tr>
      <w:tr>
        <w:trPr/>
        <w:tc>
          <w:tcPr>
            <w:tcW w:w="20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43,128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Eastern Irrevocable, LLC</w:t>
            </w:r>
          </w:p>
        </w:tc>
      </w:tr>
      <w:tr>
        <w:trPr/>
        <w:tc>
          <w:tcPr>
            <w:tcW w:w="20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47,088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Western Irrevocable, LLC</w:t>
            </w:r>
          </w:p>
        </w:tc>
      </w:tr>
      <w:tr>
        <w:trPr/>
        <w:tc>
          <w:tcPr>
            <w:tcW w:w="20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51,900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Delaware 2001 Investment Trust</w:t>
            </w:r>
          </w:p>
        </w:tc>
      </w:tr>
      <w:tr>
        <w:trPr/>
        <w:tc>
          <w:tcPr>
            <w:tcW w:w="20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780,000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Second Delaware 2003, LLC</w:t>
            </w:r>
          </w:p>
        </w:tc>
      </w:tr>
      <w:tr>
        <w:trPr/>
        <w:tc>
          <w:tcPr>
            <w:tcW w:w="20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986,785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Third Delaware 2011,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weighted-average sale price (per share prices actually received ranged from $95.00 to $95.99). Upon appropriate request, the reporting person will provide information regarding the number of shares sold at each price within the range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weighted-average sale price (per share prices actually received ranged from $96.00 to $96.91). Upon appropriate request, the reporting person will provide information regarding the number of shares sold at each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28,375 shares held by RHS Delaware Holdings LLC, of which Eastern Irrevocable, LLC and Western Irrevocable, LLC are the sole owners.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Sean E. Quinn, as attorney-in-fact for Robert S. Keane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7084" TargetMode="External"/><Relationship Id="rId5" Type="http://schemas.openxmlformats.org/officeDocument/2006/relationships/hyperlink" Target="http://www.sec.gov/cgi-bin/browse-edgar?action=getcompany&amp;CIK=000126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742</Words>
  <Characters>4059</Characters>
  <CharactersWithSpaces>4691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