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-149860</wp:posOffset>
            </wp:positionH>
            <wp:positionV relativeFrom="paragraph">
              <wp:posOffset>-194310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 w:lineRule="exact"/>
        <w:rPr>
          <w:sz w:val="24"/>
          <w:szCs w:val="24"/>
          <w:color w:val="auto"/>
        </w:rPr>
      </w:pPr>
    </w:p>
    <w:p>
      <w:pPr>
        <w:jc w:val="center"/>
        <w:ind w:right="-399"/>
        <w:spacing w:after="0"/>
        <w:rPr>
          <w:sz w:val="20"/>
          <w:szCs w:val="20"/>
          <w:color w:val="auto"/>
        </w:rPr>
      </w:pPr>
      <w:r>
        <w:rPr>
          <w:rFonts w:ascii="Arial" w:cs="Arial" w:eastAsia="Arial" w:hAnsi="Arial"/>
          <w:sz w:val="28"/>
          <w:szCs w:val="28"/>
          <w:b w:val="1"/>
          <w:bCs w:val="1"/>
          <w:color w:val="auto"/>
        </w:rPr>
        <w:t>SECURITIES AND EXCHANGE COMMISSION</w:t>
      </w:r>
    </w:p>
    <w:p>
      <w:pPr>
        <w:spacing w:after="0" w:line="1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17" w:lineRule="exact"/>
        <w:rPr>
          <w:sz w:val="24"/>
          <w:szCs w:val="24"/>
          <w:color w:val="auto"/>
        </w:rPr>
      </w:pPr>
    </w:p>
    <w:p>
      <w:pPr>
        <w:ind w:left="3240"/>
        <w:spacing w:after="0"/>
        <w:rPr>
          <w:sz w:val="20"/>
          <w:szCs w:val="20"/>
          <w:color w:val="auto"/>
        </w:rPr>
      </w:pPr>
      <w:r>
        <w:rPr>
          <w:rFonts w:ascii="Arial" w:cs="Arial" w:eastAsia="Arial" w:hAnsi="Arial"/>
          <w:sz w:val="22"/>
          <w:szCs w:val="22"/>
          <w:color w:val="auto"/>
        </w:rPr>
        <w:t>___________________________________</w:t>
      </w:r>
    </w:p>
    <w:p>
      <w:pPr>
        <w:spacing w:after="0" w:line="343" w:lineRule="exact"/>
        <w:rPr>
          <w:sz w:val="24"/>
          <w:szCs w:val="24"/>
          <w:color w:val="auto"/>
        </w:rPr>
      </w:pPr>
    </w:p>
    <w:p>
      <w:pPr>
        <w:jc w:val="center"/>
        <w:ind w:right="-399"/>
        <w:spacing w:after="0"/>
        <w:rPr>
          <w:sz w:val="20"/>
          <w:szCs w:val="20"/>
          <w:color w:val="auto"/>
        </w:rPr>
      </w:pPr>
      <w:r>
        <w:rPr>
          <w:rFonts w:ascii="Arial" w:cs="Arial" w:eastAsia="Arial" w:hAnsi="Arial"/>
          <w:sz w:val="31"/>
          <w:szCs w:val="31"/>
          <w:b w:val="1"/>
          <w:bCs w:val="1"/>
          <w:color w:val="auto"/>
        </w:rPr>
        <w:t>Form 8-K</w:t>
      </w:r>
    </w:p>
    <w:p>
      <w:pPr>
        <w:spacing w:after="0" w:line="47" w:lineRule="exact"/>
        <w:rPr>
          <w:sz w:val="24"/>
          <w:szCs w:val="24"/>
          <w:color w:val="auto"/>
        </w:rPr>
      </w:pPr>
    </w:p>
    <w:p>
      <w:pPr>
        <w:ind w:left="3240"/>
        <w:spacing w:after="0"/>
        <w:rPr>
          <w:sz w:val="20"/>
          <w:szCs w:val="20"/>
          <w:color w:val="auto"/>
        </w:rPr>
      </w:pPr>
      <w:r>
        <w:rPr>
          <w:rFonts w:ascii="Arial" w:cs="Arial" w:eastAsia="Arial" w:hAnsi="Arial"/>
          <w:sz w:val="22"/>
          <w:szCs w:val="22"/>
          <w:color w:val="auto"/>
        </w:rPr>
        <w:t>___________________________________</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CURRENT REPORT</w:t>
      </w:r>
    </w:p>
    <w:p>
      <w:pPr>
        <w:spacing w:after="0" w:line="59"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Pursuant to Section 13 or 15(d)</w:t>
      </w:r>
    </w:p>
    <w:p>
      <w:pPr>
        <w:spacing w:after="0" w:line="59"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356"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Date of Report (Date of earliest event reported): October 6, 2015</w:t>
      </w:r>
    </w:p>
    <w:p>
      <w:pPr>
        <w:spacing w:after="0" w:line="265"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w:t>
      </w:r>
    </w:p>
    <w:p>
      <w:pPr>
        <w:spacing w:after="0" w:line="196" w:lineRule="exact"/>
        <w:rPr>
          <w:sz w:val="24"/>
          <w:szCs w:val="24"/>
          <w:color w:val="auto"/>
        </w:rPr>
      </w:pPr>
    </w:p>
    <w:p>
      <w:pPr>
        <w:jc w:val="center"/>
        <w:ind w:right="-399"/>
        <w:spacing w:after="0"/>
        <w:rPr>
          <w:sz w:val="20"/>
          <w:szCs w:val="20"/>
          <w:color w:val="auto"/>
        </w:rPr>
      </w:pPr>
      <w:r>
        <w:rPr>
          <w:rFonts w:ascii="Arial" w:cs="Arial" w:eastAsia="Arial" w:hAnsi="Arial"/>
          <w:sz w:val="40"/>
          <w:szCs w:val="40"/>
          <w:b w:val="1"/>
          <w:bCs w:val="1"/>
          <w:color w:val="auto"/>
        </w:rPr>
        <w:t>Cimpress N.V.</w:t>
      </w:r>
    </w:p>
    <w:p>
      <w:pPr>
        <w:spacing w:after="0" w:line="45"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9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w:t>
      </w:r>
    </w:p>
    <w:p>
      <w:pPr>
        <w:sectPr>
          <w:pgSz w:w="11900" w:h="16838" w:orient="portrait"/>
          <w:cols w:equalWidth="0" w:num="1">
            <w:col w:w="10280"/>
          </w:cols>
          <w:pgMar w:left="620" w:top="950" w:right="999" w:bottom="1440" w:gutter="0" w:footer="0" w:header="0"/>
        </w:sectPr>
      </w:pPr>
    </w:p>
    <w:p>
      <w:pPr>
        <w:spacing w:after="0" w:line="365" w:lineRule="exact"/>
        <w:rPr>
          <w:sz w:val="24"/>
          <w:szCs w:val="24"/>
          <w:color w:val="auto"/>
        </w:rPr>
      </w:pPr>
    </w:p>
    <w:p>
      <w:pPr>
        <w:ind w:left="1640"/>
        <w:spacing w:after="0"/>
        <w:rPr>
          <w:sz w:val="20"/>
          <w:szCs w:val="20"/>
          <w:color w:val="auto"/>
        </w:rPr>
      </w:pPr>
      <w:r>
        <w:rPr>
          <w:rFonts w:ascii="Arial" w:cs="Arial" w:eastAsia="Arial" w:hAnsi="Arial"/>
          <w:sz w:val="18"/>
          <w:szCs w:val="18"/>
          <w:b w:val="1"/>
          <w:bCs w:val="1"/>
          <w:color w:val="auto"/>
        </w:rPr>
        <w:t>The Netherlands</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jc w:val="center"/>
        <w:ind w:right="1340"/>
        <w:spacing w:after="0"/>
        <w:rPr>
          <w:sz w:val="20"/>
          <w:szCs w:val="20"/>
          <w:color w:val="auto"/>
        </w:rPr>
      </w:pPr>
      <w:r>
        <w:rPr>
          <w:rFonts w:ascii="Arial" w:cs="Arial" w:eastAsia="Arial" w:hAnsi="Arial"/>
          <w:sz w:val="17"/>
          <w:szCs w:val="17"/>
          <w:b w:val="1"/>
          <w:bCs w:val="1"/>
          <w:color w:val="auto"/>
        </w:rPr>
        <w:t>000-51539</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98-0417483</w:t>
      </w:r>
    </w:p>
    <w:p>
      <w:pPr>
        <w:spacing w:after="0" w:line="85" w:lineRule="exact"/>
        <w:rPr>
          <w:sz w:val="24"/>
          <w:szCs w:val="24"/>
          <w:color w:val="auto"/>
        </w:rPr>
      </w:pPr>
    </w:p>
    <w:p>
      <w:pPr>
        <w:sectPr>
          <w:pgSz w:w="11900" w:h="16838" w:orient="portrait"/>
          <w:cols w:equalWidth="0" w:num="3">
            <w:col w:w="4200" w:space="720"/>
            <w:col w:w="2200" w:space="720"/>
            <w:col w:w="2440"/>
          </w:cols>
          <w:pgMar w:left="620" w:top="950" w:right="999" w:bottom="1440" w:gutter="0" w:footer="0" w:header="0"/>
          <w:type w:val="continuous"/>
        </w:sectPr>
      </w:pPr>
    </w:p>
    <w:p>
      <w:pPr>
        <w:jc w:val="center"/>
        <w:ind w:left="700"/>
        <w:spacing w:after="0"/>
        <w:rPr>
          <w:sz w:val="20"/>
          <w:szCs w:val="20"/>
          <w:color w:val="auto"/>
        </w:rPr>
      </w:pPr>
      <w:r>
        <w:rPr>
          <w:rFonts w:ascii="Arial" w:cs="Arial" w:eastAsia="Arial" w:hAnsi="Arial"/>
          <w:sz w:val="16"/>
          <w:szCs w:val="16"/>
          <w:color w:val="auto"/>
        </w:rPr>
        <w:t>(State or Other Jurisdiction of</w:t>
      </w:r>
    </w:p>
    <w:p>
      <w:pPr>
        <w:spacing w:after="0" w:line="5" w:lineRule="exact"/>
        <w:rPr>
          <w:sz w:val="24"/>
          <w:szCs w:val="24"/>
          <w:color w:val="auto"/>
        </w:rPr>
      </w:pPr>
    </w:p>
    <w:p>
      <w:pPr>
        <w:jc w:val="center"/>
        <w:ind w:left="70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jc w:val="center"/>
        <w:ind w:right="440"/>
        <w:spacing w:after="0"/>
        <w:rPr>
          <w:sz w:val="20"/>
          <w:szCs w:val="20"/>
          <w:color w:val="auto"/>
        </w:rPr>
      </w:pPr>
      <w:r>
        <w:rPr>
          <w:rFonts w:ascii="Arial" w:cs="Arial" w:eastAsia="Arial" w:hAnsi="Arial"/>
          <w:sz w:val="16"/>
          <w:szCs w:val="16"/>
          <w:color w:val="auto"/>
        </w:rPr>
        <w:t>(Commission File</w:t>
      </w:r>
    </w:p>
    <w:p>
      <w:pPr>
        <w:spacing w:after="0" w:line="5"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Number)</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00" w:space="720"/>
            <w:col w:w="1700" w:space="720"/>
            <w:col w:w="3140"/>
          </w:cols>
          <w:pgMar w:left="620" w:top="950" w:right="999" w:bottom="1440" w:gutter="0" w:footer="0" w:header="0"/>
          <w:type w:val="continuous"/>
        </w:sectPr>
      </w:pPr>
    </w:p>
    <w:p>
      <w:pPr>
        <w:spacing w:after="0" w:line="199"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Hudsonweg 8</w:t>
      </w:r>
    </w:p>
    <w:p>
      <w:pPr>
        <w:sectPr>
          <w:pgSz w:w="11900" w:h="16838" w:orient="portrait"/>
          <w:cols w:equalWidth="0" w:num="1">
            <w:col w:w="10280"/>
          </w:cols>
          <w:pgMar w:left="620" w:top="950" w:right="999" w:bottom="1440" w:gutter="0" w:footer="0" w:header="0"/>
          <w:type w:val="continuous"/>
        </w:sectPr>
      </w:pPr>
    </w:p>
    <w:p>
      <w:pPr>
        <w:spacing w:after="0" w:line="50" w:lineRule="exact"/>
        <w:rPr>
          <w:sz w:val="24"/>
          <w:szCs w:val="24"/>
          <w:color w:val="auto"/>
        </w:rPr>
      </w:pPr>
    </w:p>
    <w:p>
      <w:pPr>
        <w:ind w:left="1860"/>
        <w:spacing w:after="0"/>
        <w:rPr>
          <w:sz w:val="20"/>
          <w:szCs w:val="20"/>
          <w:color w:val="auto"/>
        </w:rPr>
      </w:pPr>
      <w:r>
        <w:rPr>
          <w:rFonts w:ascii="Arial" w:cs="Arial" w:eastAsia="Arial" w:hAnsi="Arial"/>
          <w:sz w:val="17"/>
          <w:szCs w:val="17"/>
          <w:b w:val="1"/>
          <w:bCs w:val="1"/>
          <w:color w:val="auto"/>
        </w:rPr>
        <w:t>Venlo</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5928 LW</w:t>
      </w:r>
    </w:p>
    <w:p>
      <w:pPr>
        <w:spacing w:after="0" w:line="75" w:lineRule="exact"/>
        <w:rPr>
          <w:sz w:val="24"/>
          <w:szCs w:val="24"/>
          <w:color w:val="auto"/>
        </w:rPr>
      </w:pPr>
    </w:p>
    <w:p>
      <w:pPr>
        <w:sectPr>
          <w:pgSz w:w="11900" w:h="16838" w:orient="portrait"/>
          <w:cols w:equalWidth="0" w:num="2">
            <w:col w:w="7600" w:space="720"/>
            <w:col w:w="1960"/>
          </w:cols>
          <w:pgMar w:left="620" w:top="950" w:right="999" w:bottom="1440" w:gutter="0" w:footer="0" w:header="0"/>
          <w:type w:val="continuous"/>
        </w:sectPr>
      </w:pPr>
    </w:p>
    <w:p>
      <w:pPr>
        <w:ind w:left="1400"/>
        <w:spacing w:after="0"/>
        <w:rPr>
          <w:sz w:val="20"/>
          <w:szCs w:val="20"/>
          <w:color w:val="auto"/>
        </w:rPr>
      </w:pPr>
      <w:r>
        <w:rPr>
          <w:rFonts w:ascii="Arial" w:cs="Arial" w:eastAsia="Arial" w:hAnsi="Arial"/>
          <w:sz w:val="18"/>
          <w:szCs w:val="18"/>
          <w:b w:val="1"/>
          <w:bCs w:val="1"/>
          <w:color w:val="auto"/>
        </w:rPr>
        <w:t>The Netherlands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(Zip Code)</w:t>
      </w:r>
    </w:p>
    <w:p>
      <w:pPr>
        <w:spacing w:after="0" w:line="85" w:lineRule="exact"/>
        <w:rPr>
          <w:sz w:val="24"/>
          <w:szCs w:val="24"/>
          <w:color w:val="auto"/>
        </w:rPr>
      </w:pPr>
    </w:p>
    <w:p>
      <w:pPr>
        <w:sectPr>
          <w:pgSz w:w="11900" w:h="16838" w:orient="portrait"/>
          <w:cols w:equalWidth="0" w:num="2">
            <w:col w:w="7560" w:space="720"/>
            <w:col w:w="2000"/>
          </w:cols>
          <w:pgMar w:left="620" w:top="950" w:right="999" w:bottom="1440" w:gutter="0" w:footer="0" w:header="0"/>
          <w:type w:val="continuous"/>
        </w:sectPr>
      </w:pPr>
    </w:p>
    <w:p>
      <w:pPr>
        <w:ind w:left="560"/>
        <w:spacing w:after="0"/>
        <w:rPr>
          <w:sz w:val="20"/>
          <w:szCs w:val="20"/>
          <w:color w:val="auto"/>
        </w:rPr>
      </w:pPr>
      <w:r>
        <w:rPr>
          <w:rFonts w:ascii="Arial" w:cs="Arial" w:eastAsia="Arial" w:hAnsi="Arial"/>
          <w:sz w:val="16"/>
          <w:szCs w:val="16"/>
          <w:b w:val="1"/>
          <w:bCs w:val="1"/>
          <w:color w:val="auto"/>
        </w:rPr>
        <w:t>(Address of Principal Executive Offices)</w:t>
      </w:r>
    </w:p>
    <w:p>
      <w:pPr>
        <w:sectPr>
          <w:pgSz w:w="11900" w:h="16838" w:orient="portrait"/>
          <w:cols w:equalWidth="0" w:num="1">
            <w:col w:w="10280"/>
          </w:cols>
          <w:pgMar w:left="620" w:top="950" w:right="999" w:bottom="1440" w:gutter="0" w:footer="0" w:header="0"/>
          <w:type w:val="continuous"/>
        </w:sectPr>
      </w:pPr>
    </w:p>
    <w:p>
      <w:pPr>
        <w:spacing w:after="0" w:line="203"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including area code: 31-77-850-7700</w:t>
      </w:r>
    </w:p>
    <w:p>
      <w:pPr>
        <w:spacing w:after="0" w:line="200" w:lineRule="exact"/>
        <w:rPr>
          <w:sz w:val="24"/>
          <w:szCs w:val="24"/>
          <w:color w:val="auto"/>
        </w:rPr>
      </w:pPr>
    </w:p>
    <w:p>
      <w:pPr>
        <w:spacing w:after="0" w:line="20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32" w:lineRule="exact"/>
        <w:rPr>
          <w:sz w:val="24"/>
          <w:szCs w:val="24"/>
          <w:color w:val="auto"/>
        </w:rPr>
      </w:pPr>
    </w:p>
    <w:p>
      <w:pPr>
        <w:ind w:left="31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68" w:lineRule="exact"/>
        <w:rPr>
          <w:sz w:val="24"/>
          <w:szCs w:val="24"/>
          <w:color w:val="auto"/>
        </w:rPr>
      </w:pPr>
    </w:p>
    <w:p>
      <w:pPr>
        <w:ind w:left="270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241"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263" w:lineRule="exact"/>
        <w:rPr>
          <w:sz w:val="24"/>
          <w:szCs w:val="24"/>
          <w:color w:val="auto"/>
        </w:rPr>
      </w:pPr>
    </w:p>
    <w:p>
      <w:pPr>
        <w:ind w:left="540" w:hanging="444"/>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88" w:lineRule="exact"/>
        <w:rPr>
          <w:rFonts w:ascii="Arial" w:cs="Arial" w:eastAsia="Arial" w:hAnsi="Arial"/>
          <w:sz w:val="16"/>
          <w:szCs w:val="16"/>
          <w:color w:val="auto"/>
        </w:rPr>
      </w:pPr>
    </w:p>
    <w:p>
      <w:pPr>
        <w:ind w:left="540" w:hanging="444"/>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88" w:lineRule="exact"/>
        <w:rPr>
          <w:rFonts w:ascii="Arial" w:cs="Arial" w:eastAsia="Arial" w:hAnsi="Arial"/>
          <w:sz w:val="16"/>
          <w:szCs w:val="16"/>
          <w:color w:val="auto"/>
        </w:rPr>
      </w:pPr>
    </w:p>
    <w:p>
      <w:pPr>
        <w:ind w:left="540" w:hanging="444"/>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88" w:lineRule="exact"/>
        <w:rPr>
          <w:rFonts w:ascii="Arial" w:cs="Arial" w:eastAsia="Arial" w:hAnsi="Arial"/>
          <w:sz w:val="16"/>
          <w:szCs w:val="16"/>
          <w:color w:val="auto"/>
        </w:rPr>
      </w:pPr>
    </w:p>
    <w:p>
      <w:pPr>
        <w:ind w:left="540" w:hanging="444"/>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-149860</wp:posOffset>
            </wp:positionH>
            <wp:positionV relativeFrom="paragraph">
              <wp:posOffset>370840</wp:posOffset>
            </wp:positionV>
            <wp:extent cx="7075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-149860</wp:posOffset>
            </wp:positionH>
            <wp:positionV relativeFrom="paragraph">
              <wp:posOffset>285115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0280"/>
          </w:cols>
          <w:pgMar w:left="620" w:top="950" w:right="999" w:bottom="1440" w:gutter="0" w:footer="0" w:header="0"/>
          <w:type w:val="continuous"/>
        </w:sectPr>
      </w:pPr>
    </w:p>
    <w:bookmarkStart w:id="1" w:name="page2"/>
    <w:bookmarkEnd w:id="1"/>
    <w:p>
      <w:pPr>
        <w:ind w:right="680"/>
        <w:spacing w:after="0" w:line="28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October 6, 2015, Ernst Teunissen notified Cimpress N.V. of his decision to resign as Cimpress’ Executive Vice President and Chief Financial Officer effective October 26, 2015 to accept a chief financial officer role with another public company, and he will depart Cimpress on November 4, 2015. Cimpress has decided to promote Sean Quinn, its current Vice President, Corporate Finance and Chief Accounting Officer, to the position of Senior Vice President and Chief Financial Officer (principal financial officer and principal accounting officer) effective October 26, 2015.</w:t>
      </w:r>
    </w:p>
    <w:p>
      <w:pPr>
        <w:spacing w:after="0" w:line="206"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Mr. Quinn, age 36, has served as Chief Accounting Officer since November 2014 and as Vice President, Corporate Finance since January 2014. Mr. Quinn previously served as Global Controller from April 2012 to November 2014, as Director, External Reporting &amp; Accounting from July 2010 to April 2012, and as Senior Manager, External Reporting &amp; Accounting from October 2009 to July 2010. Before joining Cimpress, Mr. Quinn was a Certified Public Accountant with KPMG LLP from September 2001 to October 2009 in the firm’s Philadelphia, London, and Boston offices, most recently as an Audit Senior Manager. Mr. Quinn holds a B.S. degree in accounting from Saint Joseph’s University.</w:t>
      </w:r>
    </w:p>
    <w:p>
      <w:pPr>
        <w:spacing w:after="0" w:line="209"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There are no family relationships between Mr. Quinn and any of Cimpress’ supervisory directors or executive officers. Since July 1, 2014, Mr. Quinn has had no related person transactions that would be required to be reported under Item 404(a) of Regulation S-K promulgated under the Securities Exchange Act of 1934.</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Cimpress does not expect to incur any material charges in connection with Mr. Teunissen’s resignation.</w:t>
      </w:r>
    </w:p>
    <w:p>
      <w:pPr>
        <w:spacing w:after="0" w:line="200" w:lineRule="exact"/>
        <w:rPr>
          <w:sz w:val="20"/>
          <w:szCs w:val="20"/>
          <w:color w:val="auto"/>
        </w:rPr>
      </w:pPr>
    </w:p>
    <w:p>
      <w:pPr>
        <w:spacing w:after="0" w:line="21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5"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47"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See the Exhibit Index attached to this report.</w:t>
      </w:r>
    </w:p>
    <w:p>
      <w:pPr>
        <w:sectPr>
          <w:pgSz w:w="11900" w:h="16838" w:orient="portrait"/>
          <w:cols w:equalWidth="0" w:num="1">
            <w:col w:w="11340"/>
          </w:cols>
          <w:pgMar w:left="240" w:top="576" w:right="31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193"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60"/>
        <w:spacing w:after="0"/>
        <w:tabs>
          <w:tab w:leader="none" w:pos="5520" w:val="left"/>
        </w:tabs>
        <w:rPr>
          <w:sz w:val="20"/>
          <w:szCs w:val="20"/>
          <w:color w:val="auto"/>
        </w:rPr>
      </w:pPr>
      <w:r>
        <w:rPr>
          <w:rFonts w:ascii="Arial" w:cs="Arial" w:eastAsia="Arial" w:hAnsi="Arial"/>
          <w:sz w:val="18"/>
          <w:szCs w:val="18"/>
          <w:color w:val="auto"/>
        </w:rPr>
        <w:t>Date: October 8, 2015</w:t>
      </w:r>
      <w:r>
        <w:rPr>
          <w:sz w:val="20"/>
          <w:szCs w:val="20"/>
          <w:color w:val="auto"/>
        </w:rPr>
        <w:tab/>
      </w:r>
      <w:r>
        <w:rPr>
          <w:rFonts w:ascii="Arial" w:cs="Arial" w:eastAsia="Arial" w:hAnsi="Arial"/>
          <w:sz w:val="17"/>
          <w:szCs w:val="17"/>
          <w:color w:val="auto"/>
        </w:rPr>
        <w:t>CIMPRESS N.V.</w:t>
      </w:r>
    </w:p>
    <w:p>
      <w:pPr>
        <w:spacing w:after="0" w:line="200" w:lineRule="exact"/>
        <w:rPr>
          <w:sz w:val="20"/>
          <w:szCs w:val="20"/>
          <w:color w:val="auto"/>
        </w:rPr>
      </w:pPr>
    </w:p>
    <w:p>
      <w:pPr>
        <w:spacing w:after="0" w:line="201" w:lineRule="exact"/>
        <w:rPr>
          <w:sz w:val="20"/>
          <w:szCs w:val="20"/>
          <w:color w:val="auto"/>
        </w:rPr>
      </w:pPr>
    </w:p>
    <w:p>
      <w:pPr>
        <w:ind w:left="5540"/>
        <w:spacing w:after="0"/>
        <w:tabs>
          <w:tab w:leader="none" w:pos="5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14605</wp:posOffset>
            </wp:positionV>
            <wp:extent cx="3215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2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Robert S. Keane</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20"/>
          </w:cols>
          <w:pgMar w:left="240" w:top="57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tcPr>
          <w:p>
            <w:pPr>
              <w:ind w:left="3940"/>
              <w:spacing w:after="0"/>
              <w:rPr>
                <w:sz w:val="20"/>
                <w:szCs w:val="20"/>
                <w:color w:val="auto"/>
              </w:rPr>
            </w:pPr>
            <w:r>
              <w:rPr>
                <w:rFonts w:ascii="Arial" w:cs="Arial" w:eastAsia="Arial" w:hAnsi="Arial"/>
                <w:sz w:val="18"/>
                <w:szCs w:val="18"/>
                <w:b w:val="1"/>
                <w:bCs w:val="1"/>
                <w:color w:val="auto"/>
              </w:rPr>
              <w:t>EXHIBIT INDEX</w:t>
            </w:r>
          </w:p>
        </w:tc>
      </w:tr>
      <w:tr>
        <w:trPr>
          <w:trHeight w:val="389"/>
        </w:trPr>
        <w:tc>
          <w:tcPr>
            <w:tcW w:w="1120" w:type="dxa"/>
            <w:vAlign w:val="bottom"/>
            <w:gridSpan w:val="2"/>
          </w:tcPr>
          <w:p>
            <w:pPr>
              <w:ind w:left="260"/>
              <w:spacing w:after="0"/>
              <w:rPr>
                <w:sz w:val="20"/>
                <w:szCs w:val="20"/>
                <w:color w:val="auto"/>
              </w:rPr>
            </w:pPr>
            <w:r>
              <w:rPr>
                <w:rFonts w:ascii="Arial" w:cs="Arial" w:eastAsia="Arial" w:hAnsi="Arial"/>
                <w:sz w:val="13"/>
                <w:szCs w:val="13"/>
                <w:b w:val="1"/>
                <w:bCs w:val="1"/>
                <w:color w:val="auto"/>
              </w:rPr>
              <w:t>Exhibit</w:t>
            </w:r>
          </w:p>
        </w:tc>
        <w:tc>
          <w:tcPr>
            <w:tcW w:w="10000" w:type="dxa"/>
            <w:vAlign w:val="bottom"/>
          </w:tcPr>
          <w:p>
            <w:pPr>
              <w:spacing w:after="0"/>
              <w:rPr>
                <w:sz w:val="24"/>
                <w:szCs w:val="24"/>
                <w:color w:val="auto"/>
              </w:rPr>
            </w:pPr>
          </w:p>
        </w:tc>
      </w:tr>
      <w:tr>
        <w:trPr>
          <w:trHeight w:val="280"/>
        </w:trPr>
        <w:tc>
          <w:tcPr>
            <w:tcW w:w="1120" w:type="dxa"/>
            <w:vAlign w:val="bottom"/>
            <w:gridSpan w:val="2"/>
          </w:tcPr>
          <w:p>
            <w:pPr>
              <w:ind w:left="420"/>
              <w:spacing w:after="0"/>
              <w:rPr>
                <w:sz w:val="20"/>
                <w:szCs w:val="20"/>
                <w:color w:val="auto"/>
              </w:rPr>
            </w:pPr>
            <w:r>
              <w:rPr>
                <w:rFonts w:ascii="Arial" w:cs="Arial" w:eastAsia="Arial" w:hAnsi="Arial"/>
                <w:sz w:val="13"/>
                <w:szCs w:val="13"/>
                <w:b w:val="1"/>
                <w:bCs w:val="1"/>
                <w:color w:val="auto"/>
              </w:rPr>
              <w:t>No.</w:t>
            </w:r>
          </w:p>
        </w:tc>
        <w:tc>
          <w:tcPr>
            <w:tcW w:w="10000" w:type="dxa"/>
            <w:vAlign w:val="bottom"/>
          </w:tcPr>
          <w:p>
            <w:pPr>
              <w:ind w:left="4660"/>
              <w:spacing w:after="0"/>
              <w:rPr>
                <w:sz w:val="20"/>
                <w:szCs w:val="20"/>
                <w:color w:val="auto"/>
              </w:rPr>
            </w:pPr>
            <w:r>
              <w:rPr>
                <w:rFonts w:ascii="Arial" w:cs="Arial" w:eastAsia="Arial" w:hAnsi="Arial"/>
                <w:sz w:val="13"/>
                <w:szCs w:val="13"/>
                <w:b w:val="1"/>
                <w:bCs w:val="1"/>
                <w:color w:val="auto"/>
              </w:rPr>
              <w:t>Description</w:t>
            </w:r>
          </w:p>
        </w:tc>
      </w:tr>
      <w:tr>
        <w:trPr>
          <w:trHeight w:val="218"/>
        </w:trPr>
        <w:tc>
          <w:tcPr>
            <w:tcW w:w="1020" w:type="dxa"/>
            <w:vAlign w:val="bottom"/>
            <w:tcBorders>
              <w:top w:val="single" w:sz="8" w:color="auto"/>
            </w:tcBorders>
          </w:tcPr>
          <w:p>
            <w:pPr>
              <w:jc w:val="right"/>
              <w:ind w:right="591"/>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18"/>
                <w:szCs w:val="18"/>
                <w:color w:val="auto"/>
              </w:rPr>
            </w:pPr>
          </w:p>
        </w:tc>
        <w:tc>
          <w:tcPr>
            <w:tcW w:w="100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Press release dated October 8, 2015 entitled “Cimpress Announces Promotion of Sean Quinn to Chief Financial Officer effective</w:t>
            </w:r>
          </w:p>
        </w:tc>
      </w:tr>
      <w:tr>
        <w:trPr>
          <w:trHeight w:val="195"/>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0" w:type="dxa"/>
            <w:vAlign w:val="bottom"/>
          </w:tcPr>
          <w:p>
            <w:pPr>
              <w:ind w:left="40"/>
              <w:spacing w:after="0"/>
              <w:rPr>
                <w:sz w:val="20"/>
                <w:szCs w:val="20"/>
                <w:color w:val="auto"/>
              </w:rPr>
            </w:pPr>
            <w:r>
              <w:rPr>
                <w:rFonts w:ascii="Arial" w:cs="Arial" w:eastAsia="Arial" w:hAnsi="Arial"/>
                <w:sz w:val="16"/>
                <w:szCs w:val="16"/>
                <w:color w:val="auto"/>
              </w:rPr>
              <w:t>October 26, 2015”</w:t>
            </w:r>
          </w:p>
        </w:tc>
      </w:tr>
    </w:tbl>
    <w:p>
      <w:pPr>
        <w:sectPr>
          <w:pgSz w:w="11900" w:h="16838" w:orient="portrait"/>
          <w:cols w:equalWidth="0" w:num="1">
            <w:col w:w="11120"/>
          </w:cols>
          <w:pgMar w:left="240" w:top="576" w:right="539" w:bottom="1440" w:gutter="0" w:footer="0" w:header="0"/>
        </w:sectPr>
      </w:pPr>
    </w:p>
    <w:bookmarkStart w:id="4" w:name="page5"/>
    <w:bookmarkEnd w:id="4"/>
    <w:p>
      <w:pPr>
        <w:ind w:left="90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3450590</wp:posOffset>
            </wp:positionH>
            <wp:positionV relativeFrom="page">
              <wp:posOffset>243205</wp:posOffset>
            </wp:positionV>
            <wp:extent cx="2444115"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444115" cy="668655"/>
                    </a:xfrm>
                    <a:prstGeom prst="rect">
                      <a:avLst/>
                    </a:prstGeom>
                    <a:noFill/>
                  </pic:spPr>
                </pic:pic>
              </a:graphicData>
            </a:graphic>
          </wp:anchor>
        </w:drawing>
        <w:t>Contacts:</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Investor Relations:</w:t>
      </w:r>
    </w:p>
    <w:p>
      <w:pPr>
        <w:ind w:left="5200"/>
        <w:spacing w:after="0"/>
        <w:rPr>
          <w:sz w:val="20"/>
          <w:szCs w:val="20"/>
          <w:color w:val="auto"/>
        </w:rPr>
      </w:pPr>
      <w:r>
        <w:rPr>
          <w:rFonts w:ascii="Arial" w:cs="Arial" w:eastAsia="Arial" w:hAnsi="Arial"/>
          <w:sz w:val="20"/>
          <w:szCs w:val="20"/>
          <w:color w:val="auto"/>
        </w:rPr>
        <w:t>Meredith Burns</w:t>
      </w:r>
    </w:p>
    <w:p>
      <w:pPr>
        <w:ind w:left="5200"/>
        <w:spacing w:after="0"/>
        <w:rPr>
          <w:sz w:val="20"/>
          <w:szCs w:val="20"/>
          <w:color w:val="auto"/>
        </w:rPr>
      </w:pPr>
      <w:r>
        <w:rPr>
          <w:rFonts w:ascii="Arial" w:cs="Arial" w:eastAsia="Arial" w:hAnsi="Arial"/>
          <w:sz w:val="20"/>
          <w:szCs w:val="20"/>
          <w:color w:val="auto"/>
        </w:rPr>
        <w:t>ir@cimpress.com</w:t>
      </w:r>
    </w:p>
    <w:p>
      <w:pPr>
        <w:ind w:left="5200"/>
        <w:spacing w:after="0"/>
        <w:rPr>
          <w:sz w:val="20"/>
          <w:szCs w:val="20"/>
          <w:color w:val="auto"/>
        </w:rPr>
      </w:pPr>
      <w:r>
        <w:rPr>
          <w:rFonts w:ascii="Arial" w:cs="Arial" w:eastAsia="Arial" w:hAnsi="Arial"/>
          <w:sz w:val="20"/>
          <w:szCs w:val="20"/>
          <w:color w:val="auto"/>
        </w:rPr>
        <w:t>+1.781.652.6480</w:t>
      </w:r>
    </w:p>
    <w:p>
      <w:pPr>
        <w:spacing w:after="0" w:line="205"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Media Relations:</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Cheryl Wadsworth</w:t>
      </w:r>
    </w:p>
    <w:p>
      <w:pPr>
        <w:ind w:left="5200"/>
        <w:spacing w:after="0"/>
        <w:rPr>
          <w:sz w:val="20"/>
          <w:szCs w:val="20"/>
          <w:color w:val="auto"/>
        </w:rPr>
      </w:pPr>
      <w:r>
        <w:rPr>
          <w:rFonts w:ascii="Arial" w:cs="Arial" w:eastAsia="Arial" w:hAnsi="Arial"/>
          <w:sz w:val="20"/>
          <w:szCs w:val="20"/>
          <w:color w:val="auto"/>
        </w:rPr>
        <w:t>mediarelations@cimpress.com</w:t>
      </w:r>
    </w:p>
    <w:p>
      <w:pPr>
        <w:ind w:left="5200"/>
        <w:spacing w:after="0"/>
        <w:rPr>
          <w:sz w:val="20"/>
          <w:szCs w:val="20"/>
          <w:color w:val="auto"/>
        </w:rPr>
      </w:pPr>
      <w:r>
        <w:rPr>
          <w:rFonts w:ascii="Arial" w:cs="Arial" w:eastAsia="Arial" w:hAnsi="Arial"/>
          <w:sz w:val="20"/>
          <w:szCs w:val="20"/>
          <w:color w:val="auto"/>
        </w:rPr>
        <w:t>+1.781.690.2120</w:t>
      </w:r>
    </w:p>
    <w:p>
      <w:pPr>
        <w:spacing w:after="0" w:line="200" w:lineRule="exact"/>
        <w:rPr>
          <w:sz w:val="20"/>
          <w:szCs w:val="20"/>
          <w:color w:val="auto"/>
        </w:rPr>
      </w:pPr>
    </w:p>
    <w:p>
      <w:pPr>
        <w:spacing w:after="0" w:line="235"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Cimpress Announces Promotion of Sean Quinn to Chief Financial Officer Effective October 26, 2015</w:t>
      </w:r>
    </w:p>
    <w:p>
      <w:pPr>
        <w:spacing w:after="0" w:line="229" w:lineRule="exact"/>
        <w:rPr>
          <w:sz w:val="20"/>
          <w:szCs w:val="20"/>
          <w:color w:val="auto"/>
        </w:rPr>
      </w:pPr>
    </w:p>
    <w:p>
      <w:pPr>
        <w:ind w:left="2420"/>
        <w:spacing w:after="0"/>
        <w:rPr>
          <w:sz w:val="20"/>
          <w:szCs w:val="20"/>
          <w:color w:val="auto"/>
        </w:rPr>
      </w:pPr>
      <w:r>
        <w:rPr>
          <w:rFonts w:ascii="Arial" w:cs="Arial" w:eastAsia="Arial" w:hAnsi="Arial"/>
          <w:sz w:val="20"/>
          <w:szCs w:val="20"/>
          <w:b w:val="1"/>
          <w:bCs w:val="1"/>
          <w:color w:val="auto"/>
        </w:rPr>
        <w:t>- Current CFO Ernst Teunissen to depart the company November 4, 2015 -</w:t>
      </w:r>
    </w:p>
    <w:p>
      <w:pPr>
        <w:spacing w:after="0" w:line="229"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b w:val="1"/>
          <w:bCs w:val="1"/>
          <w:color w:val="auto"/>
        </w:rPr>
        <w:t xml:space="preserve">VENLO, the Netherlands, October 8, 2015 </w:t>
      </w:r>
      <w:r>
        <w:rPr>
          <w:rFonts w:ascii="Arial" w:cs="Arial" w:eastAsia="Arial" w:hAnsi="Arial"/>
          <w:sz w:val="20"/>
          <w:szCs w:val="20"/>
          <w:color w:val="auto"/>
        </w:rPr>
        <w:t>-- Cimpress N.V. (Nasdaq: CMPR), the world leader in mass customization, today</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announced the promotion of Sean Quinn, currently Cimpress’ vice president of corporate finance and chief accounting officer, to senior vice president and chief financial officer, effective October 26, 2015. Current CFO Ernst Teunissen has accepted a CFO role with another public company and will depart Cimpress on November 4, 2015.</w:t>
      </w:r>
    </w:p>
    <w:p>
      <w:pPr>
        <w:spacing w:after="0" w:line="214" w:lineRule="exact"/>
        <w:rPr>
          <w:sz w:val="20"/>
          <w:szCs w:val="20"/>
          <w:color w:val="auto"/>
        </w:rPr>
      </w:pPr>
    </w:p>
    <w:p>
      <w:pPr>
        <w:ind w:right="260"/>
        <w:spacing w:after="0" w:line="241" w:lineRule="auto"/>
        <w:rPr>
          <w:sz w:val="20"/>
          <w:szCs w:val="20"/>
          <w:color w:val="auto"/>
        </w:rPr>
      </w:pPr>
      <w:r>
        <w:rPr>
          <w:rFonts w:ascii="Arial" w:cs="Arial" w:eastAsia="Arial" w:hAnsi="Arial"/>
          <w:sz w:val="20"/>
          <w:szCs w:val="20"/>
          <w:color w:val="auto"/>
        </w:rPr>
        <w:t>“Since joining Cimpress in 2009, Ernst has made very significant contributions to the company, first in his role leading corporate strategy and then as chief financial officer,” said Robert Keane, president and chief executive officer of Cimpress. “During his tenure, he built a strong infrastructure for corporate strategy, M&amp;A and finance, and helped the company evolve its capital structure and capital allocation approach to support our objectives to be the leader in mass customization and to maximize our intrinsic value per share. I thank him for his years of service to the company.”</w:t>
      </w:r>
    </w:p>
    <w:p>
      <w:pPr>
        <w:spacing w:after="0" w:line="223"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Teunissen will participate in the company’s first quarter earnings conference call scheduled for October 29, 2015 along with Keane and Quinn. “The decision to leave Cimpress was difficult for me,” said Teunissen. “We are executing on a compelling strategy, and I have been lucky to work with my talented Cimpress colleagues over the years. I was not looking to leave the company, but was recruited to another role that I felt was right for me personally. I want to thank Robert, my team, and employees throughout Cimpress for a truly fantastic experience over the years.”</w:t>
      </w:r>
    </w:p>
    <w:p>
      <w:pPr>
        <w:spacing w:after="0" w:line="223"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color w:val="auto"/>
        </w:rPr>
        <w:t>Quinn joined Cimpress in 2009. Keane noted, “I am very pleased that we have a great internal successor in Sean Quinn. As chief accounting officer, he is a key leader within Finance and has the full confidence of me, the supervisory board and his newly expanded team. Over the past six years at Cimpress, Sean has successfully taken on more and more scope and complexity, running a world-class controllership and reporting organization and supporting major investment decisions and M&amp;A activity.”</w:t>
      </w:r>
    </w:p>
    <w:p>
      <w:pPr>
        <w:spacing w:after="0" w:line="205"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Prior to his role as chief accounting officer, Quinn served as global controller from April 2012 to November 2014, as director, external reporting &amp; accounting from July 2010 to April 2012, and as senior manager, external reporting &amp; accounting from October 2009 to July 2010. Before joining Cimpress in 2009, Quinn was a Certified Public Accountant with KPMG LLP in the firm’s Philadelphia, London and Boston offices. He holds a B.S. in accounting from Saint Joseph’s University.</w:t>
      </w:r>
    </w:p>
    <w:p>
      <w:pPr>
        <w:spacing w:after="0" w:line="220"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color w:val="auto"/>
        </w:rPr>
        <w:t>“I am excited to take on additional responsibilities at Cimpress,” said Quinn. “I look forward to joining the executive team, and continuing to execute against our established capital allocation approach and financial policy which we have communicated extensively over the past year. I am also confident in the finance organization’s ability to smoothly manage through the leadership transition.”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Cimpress</w:t>
      </w:r>
    </w:p>
    <w:p>
      <w:pPr>
        <w:spacing w:after="0" w:line="51" w:lineRule="exact"/>
        <w:rPr>
          <w:sz w:val="20"/>
          <w:szCs w:val="20"/>
          <w:color w:val="auto"/>
        </w:rPr>
      </w:pPr>
    </w:p>
    <w:p>
      <w:pPr>
        <w:ind w:right="180"/>
        <w:spacing w:after="0" w:line="264" w:lineRule="auto"/>
        <w:rPr>
          <w:sz w:val="20"/>
          <w:szCs w:val="20"/>
          <w:color w:val="auto"/>
        </w:rPr>
      </w:pPr>
      <w:r>
        <w:rPr>
          <w:rFonts w:ascii="Arial" w:cs="Arial" w:eastAsia="Arial" w:hAnsi="Arial"/>
          <w:sz w:val="20"/>
          <w:szCs w:val="20"/>
          <w:color w:val="auto"/>
        </w:rPr>
        <w:t>Cimpress N.V. (Nasdaq: CMPR) is the world leader in mass customization. For 20 years, the company has been producing, with the reliability, quality and affordability of mass production, small individual orders where each and every one embodies the personal relevance inherent to customized physical products. The company produces more than 46 million uniquely designed items a year. Cimpress’ portfolio of brands includes Vistaprint, Albelli, Drukwerkdeal, Pixartprinting, Exaprint and others. That portfolio serves multiple customer segments across many applications for mass customization. To learn more, visit</w:t>
      </w:r>
    </w:p>
    <w:p>
      <w:pPr>
        <w:spacing w:after="0"/>
        <w:rPr>
          <w:sz w:val="20"/>
          <w:szCs w:val="20"/>
          <w:color w:val="auto"/>
        </w:rPr>
      </w:pPr>
      <w:r>
        <w:rPr>
          <w:rFonts w:ascii="Arial" w:cs="Arial" w:eastAsia="Arial" w:hAnsi="Arial"/>
          <w:sz w:val="22"/>
          <w:szCs w:val="22"/>
          <w:u w:val="single" w:color="auto"/>
          <w:color w:val="0000EE"/>
        </w:rPr>
        <w:t>http://www.cimpress.com</w:t>
      </w:r>
      <w:r>
        <w:rPr>
          <w:rFonts w:ascii="Arial" w:cs="Arial" w:eastAsia="Arial" w:hAnsi="Arial"/>
          <w:sz w:val="19"/>
          <w:szCs w:val="19"/>
          <w:color w:val="000000"/>
        </w:rPr>
        <w:t>.</w:t>
      </w:r>
    </w:p>
    <w:p>
      <w:pPr>
        <w:spacing w:after="0" w:line="251" w:lineRule="exact"/>
        <w:rPr>
          <w:sz w:val="20"/>
          <w:szCs w:val="20"/>
          <w:color w:val="auto"/>
        </w:rPr>
      </w:pPr>
    </w:p>
    <w:p>
      <w:pPr>
        <w:ind w:right="880"/>
        <w:spacing w:after="0" w:line="247" w:lineRule="auto"/>
        <w:rPr>
          <w:sz w:val="20"/>
          <w:szCs w:val="20"/>
          <w:color w:val="auto"/>
        </w:rPr>
      </w:pPr>
      <w:r>
        <w:rPr>
          <w:rFonts w:ascii="Arial" w:cs="Arial" w:eastAsia="Arial" w:hAnsi="Arial"/>
          <w:sz w:val="20"/>
          <w:szCs w:val="20"/>
          <w:color w:val="auto"/>
        </w:rPr>
        <w:t>Cimpress and the Cimpress logo are trademarks of Cimpress N.V. or its subsidiaries. All other brand and product names appearing on this announcement may be trademarks or registered trademarks of their respective holders.</w:t>
      </w:r>
    </w:p>
    <w:p>
      <w:pPr>
        <w:spacing w:after="0" w:line="215" w:lineRule="exact"/>
        <w:rPr>
          <w:sz w:val="20"/>
          <w:szCs w:val="20"/>
          <w:color w:val="auto"/>
        </w:rPr>
      </w:pPr>
    </w:p>
    <w:p>
      <w:pPr>
        <w:ind w:right="160"/>
        <w:spacing w:after="0" w:line="256" w:lineRule="auto"/>
        <w:rPr>
          <w:sz w:val="20"/>
          <w:szCs w:val="20"/>
          <w:color w:val="auto"/>
        </w:rPr>
      </w:pPr>
      <w:r>
        <w:rPr>
          <w:rFonts w:ascii="Arial" w:cs="Arial" w:eastAsia="Arial" w:hAnsi="Arial"/>
          <w:sz w:val="19"/>
          <w:szCs w:val="19"/>
          <w:color w:val="auto"/>
        </w:rPr>
        <w:t>This press release contains statements about our future expectations, plans, and prospects of our business that constitute forward-looking statements for purposes of the safe harbor provisions under the Private Securities Litigation Reform Act of 1995, including but not limited to statements about our corporate objectives and the anticipated success of our CFO succession plan. Actual results may differ materially from those indicated by these forward-looking statements as a result of various important factors including, but not limited to, our ability to successfully implement the succession plan, disruptions in our operations and business that may result from this change, our ability to attract and retain key employees, the failure of our strategy, and other</w:t>
      </w:r>
    </w:p>
    <w:p>
      <w:pPr>
        <w:sectPr>
          <w:pgSz w:w="11900" w:h="16838" w:orient="portrait"/>
          <w:cols w:equalWidth="0" w:num="1">
            <w:col w:w="11400"/>
          </w:cols>
          <w:pgMar w:left="240" w:top="1233" w:right="259" w:bottom="0" w:gutter="0" w:footer="0" w:header="0"/>
        </w:sectPr>
      </w:pPr>
    </w:p>
    <w:bookmarkStart w:id="5" w:name="page6"/>
    <w:bookmarkEnd w:id="5"/>
    <w:p>
      <w:pPr>
        <w:spacing w:after="0" w:line="247" w:lineRule="auto"/>
        <w:rPr>
          <w:sz w:val="20"/>
          <w:szCs w:val="20"/>
          <w:color w:val="auto"/>
        </w:rPr>
      </w:pPr>
      <w:r>
        <w:rPr>
          <w:rFonts w:ascii="Arial" w:cs="Arial" w:eastAsia="Arial" w:hAnsi="Arial"/>
          <w:sz w:val="20"/>
          <w:szCs w:val="20"/>
          <w:color w:val="auto"/>
        </w:rPr>
        <w:t>factors described in our Form 10-K for the fiscal year ended June 30, 2015 and the other documents we periodically file with the U.S. Securities and Exchange Commission.</w:t>
      </w:r>
    </w:p>
    <w:p>
      <w:pPr>
        <w:spacing w:after="0" w:line="200" w:lineRule="exact"/>
        <w:rPr>
          <w:sz w:val="20"/>
          <w:szCs w:val="20"/>
          <w:color w:val="auto"/>
        </w:rPr>
      </w:pPr>
    </w:p>
    <w:p>
      <w:pPr>
        <w:spacing w:after="0" w:line="316"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Page 1 of 2</w:t>
      </w:r>
    </w:p>
    <w:sectPr>
      <w:pgSz w:w="11900" w:h="16838" w:orient="portrait"/>
      <w:cols w:equalWidth="0" w:num="1">
        <w:col w:w="11180"/>
      </w:cols>
      <w:pgMar w:left="240" w:top="13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2019-12-29T14:18:53Z</dcterms:created>
  <dcterms:modified xsi:type="dcterms:W3CDTF">2019-12-29T14:18:53Z</dcterms:modified>
</cp:coreProperties>
</file>