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1534160</wp:posOffset>
            </wp:positionH>
            <wp:positionV relativeFrom="page">
              <wp:posOffset>493395</wp:posOffset>
            </wp:positionV>
            <wp:extent cx="448056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480560" cy="6985"/>
                    </a:xfrm>
                    <a:prstGeom prst="rect">
                      <a:avLst/>
                    </a:prstGeom>
                    <a:noFill/>
                  </pic:spPr>
                </pic:pic>
              </a:graphicData>
            </a:graphic>
          </wp:anchor>
        </w:drawing>
        <w:drawing>
          <wp:anchor simplePos="0" relativeHeight="251657728" behindDoc="1" locked="0" layoutInCell="0" allowOverlap="1">
            <wp:simplePos x="0" y="0"/>
            <wp:positionH relativeFrom="page">
              <wp:posOffset>1534160</wp:posOffset>
            </wp:positionH>
            <wp:positionV relativeFrom="page">
              <wp:posOffset>425450</wp:posOffset>
            </wp:positionV>
            <wp:extent cx="448056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480560" cy="6985"/>
                    </a:xfrm>
                    <a:prstGeom prst="rect">
                      <a:avLst/>
                    </a:prstGeom>
                    <a:noFill/>
                  </pic:spPr>
                </pic:pic>
              </a:graphicData>
            </a:graphic>
          </wp:anchor>
        </w:drawing>
        <w:t>UNITED STATES</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SECURITIES AND EXCHANGE COMMISSION</w:t>
      </w: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5" w:lineRule="exact"/>
        <w:rPr>
          <w:sz w:val="24"/>
          <w:szCs w:val="24"/>
          <w:color w:val="auto"/>
        </w:rPr>
      </w:pPr>
    </w:p>
    <w:p>
      <w:pPr>
        <w:ind w:left="4480"/>
        <w:spacing w:after="0"/>
        <w:rPr>
          <w:sz w:val="20"/>
          <w:szCs w:val="20"/>
          <w:color w:val="auto"/>
        </w:rPr>
      </w:pPr>
      <w:r>
        <w:rPr>
          <w:rFonts w:ascii="Arial" w:cs="Arial" w:eastAsia="Arial" w:hAnsi="Arial"/>
          <w:sz w:val="10"/>
          <w:szCs w:val="10"/>
          <w:color w:val="auto"/>
        </w:rPr>
        <w:t>__________________________________________</w:t>
      </w:r>
    </w:p>
    <w:p>
      <w:pPr>
        <w:spacing w:after="0" w:line="68" w:lineRule="exact"/>
        <w:rPr>
          <w:sz w:val="24"/>
          <w:szCs w:val="24"/>
          <w:color w:val="auto"/>
        </w:rPr>
      </w:pPr>
    </w:p>
    <w:p>
      <w:pPr>
        <w:jc w:val="center"/>
        <w:ind w:right="-79"/>
        <w:spacing w:after="0"/>
        <w:rPr>
          <w:sz w:val="20"/>
          <w:szCs w:val="20"/>
          <w:color w:val="auto"/>
        </w:rPr>
      </w:pPr>
      <w:r>
        <w:rPr>
          <w:rFonts w:ascii="Arial" w:cs="Arial" w:eastAsia="Arial" w:hAnsi="Arial"/>
          <w:sz w:val="20"/>
          <w:szCs w:val="20"/>
          <w:b w:val="1"/>
          <w:bCs w:val="1"/>
          <w:color w:val="auto"/>
        </w:rPr>
        <w:t>Form 8-K</w:t>
      </w:r>
    </w:p>
    <w:p>
      <w:pPr>
        <w:spacing w:after="0" w:line="13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CURRENT REPORT</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Pursuant to Section 13 or 15(d) of the Securities Exchange Act of 1934</w:t>
      </w:r>
    </w:p>
    <w:p>
      <w:pPr>
        <w:spacing w:after="0" w:line="275" w:lineRule="exact"/>
        <w:rPr>
          <w:sz w:val="24"/>
          <w:szCs w:val="24"/>
          <w:color w:val="auto"/>
        </w:rPr>
      </w:pPr>
    </w:p>
    <w:p>
      <w:pPr>
        <w:ind w:left="3880"/>
        <w:spacing w:after="0"/>
        <w:rPr>
          <w:sz w:val="20"/>
          <w:szCs w:val="20"/>
          <w:color w:val="auto"/>
        </w:rPr>
      </w:pPr>
      <w:r>
        <w:rPr>
          <w:rFonts w:ascii="Arial" w:cs="Arial" w:eastAsia="Arial" w:hAnsi="Arial"/>
          <w:sz w:val="13"/>
          <w:szCs w:val="13"/>
          <w:b w:val="1"/>
          <w:bCs w:val="1"/>
          <w:color w:val="auto"/>
        </w:rPr>
        <w:t>Date of Report (Date of earliest event reported): October 1, 2020</w:t>
      </w:r>
    </w:p>
    <w:p>
      <w:pPr>
        <w:spacing w:after="0" w:line="62" w:lineRule="exact"/>
        <w:rPr>
          <w:sz w:val="24"/>
          <w:szCs w:val="24"/>
          <w:color w:val="auto"/>
        </w:rPr>
      </w:pPr>
    </w:p>
    <w:p>
      <w:pPr>
        <w:ind w:left="4480"/>
        <w:spacing w:after="0"/>
        <w:rPr>
          <w:sz w:val="20"/>
          <w:szCs w:val="20"/>
          <w:color w:val="auto"/>
        </w:rPr>
      </w:pPr>
      <w:r>
        <w:rPr>
          <w:rFonts w:ascii="Arial" w:cs="Arial" w:eastAsia="Arial" w:hAnsi="Arial"/>
          <w:sz w:val="10"/>
          <w:szCs w:val="10"/>
          <w:color w:val="auto"/>
        </w:rPr>
        <w:t>__________________________________________</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28"/>
          <w:szCs w:val="28"/>
          <w:b w:val="1"/>
          <w:bCs w:val="1"/>
          <w:color w:val="auto"/>
        </w:rPr>
        <w:t>Cimpress plc</w:t>
      </w:r>
    </w:p>
    <w:p>
      <w:pPr>
        <w:spacing w:after="0" w:line="39" w:lineRule="exact"/>
        <w:rPr>
          <w:sz w:val="24"/>
          <w:szCs w:val="24"/>
          <w:color w:val="auto"/>
        </w:rPr>
      </w:pPr>
    </w:p>
    <w:p>
      <w:pPr>
        <w:jc w:val="center"/>
        <w:ind w:right="-79"/>
        <w:spacing w:after="0"/>
        <w:rPr>
          <w:sz w:val="20"/>
          <w:szCs w:val="20"/>
          <w:color w:val="auto"/>
        </w:rPr>
      </w:pPr>
      <w:r>
        <w:rPr>
          <w:rFonts w:ascii="Arial" w:cs="Arial" w:eastAsia="Arial" w:hAnsi="Arial"/>
          <w:sz w:val="13"/>
          <w:szCs w:val="13"/>
          <w:b w:val="1"/>
          <w:bCs w:val="1"/>
          <w:color w:val="auto"/>
        </w:rPr>
        <w:t>(Exact Name of Registrant as Specified in Its Charter)</w:t>
      </w:r>
    </w:p>
    <w:p>
      <w:pPr>
        <w:ind w:left="4480"/>
        <w:spacing w:after="0"/>
        <w:rPr>
          <w:sz w:val="20"/>
          <w:szCs w:val="20"/>
          <w:color w:val="auto"/>
        </w:rPr>
      </w:pPr>
      <w:r>
        <w:rPr>
          <w:rFonts w:ascii="Arial" w:cs="Arial" w:eastAsia="Arial" w:hAnsi="Arial"/>
          <w:sz w:val="10"/>
          <w:szCs w:val="10"/>
          <w:color w:val="auto"/>
        </w:rPr>
        <w:t>__________________________________________</w:t>
      </w:r>
    </w:p>
    <w:p>
      <w:pPr>
        <w:spacing w:after="0" w:line="126" w:lineRule="exact"/>
        <w:rPr>
          <w:sz w:val="24"/>
          <w:szCs w:val="24"/>
          <w:color w:val="auto"/>
        </w:rPr>
      </w:pPr>
    </w:p>
    <w:tbl>
      <w:tblPr>
        <w:tblLayout w:type="fixed"/>
        <w:tblInd w:w="3000" w:type="dxa"/>
        <w:tblCellMar>
          <w:top w:w="0" w:type="dxa"/>
          <w:left w:w="0" w:type="dxa"/>
          <w:bottom w:w="0" w:type="dxa"/>
          <w:right w:w="0" w:type="dxa"/>
        </w:tblCellMar>
      </w:tblPr>
      <w:tr>
        <w:trPr>
          <w:trHeight w:val="188"/>
        </w:trPr>
        <w:tc>
          <w:tcPr>
            <w:tcW w:w="1880" w:type="dxa"/>
            <w:vAlign w:val="bottom"/>
          </w:tcPr>
          <w:p>
            <w:pPr>
              <w:ind w:left="540"/>
              <w:spacing w:after="0"/>
              <w:rPr>
                <w:sz w:val="20"/>
                <w:szCs w:val="20"/>
                <w:color w:val="auto"/>
              </w:rPr>
            </w:pPr>
            <w:r>
              <w:rPr>
                <w:rFonts w:ascii="Arial" w:cs="Arial" w:eastAsia="Arial" w:hAnsi="Arial"/>
                <w:sz w:val="14"/>
                <w:szCs w:val="14"/>
                <w:b w:val="1"/>
                <w:bCs w:val="1"/>
                <w:color w:val="auto"/>
              </w:rPr>
              <w:t>Ireland</w:t>
            </w:r>
          </w:p>
        </w:tc>
        <w:tc>
          <w:tcPr>
            <w:tcW w:w="1800" w:type="dxa"/>
            <w:vAlign w:val="bottom"/>
          </w:tcPr>
          <w:p>
            <w:pPr>
              <w:jc w:val="center"/>
              <w:ind w:right="14"/>
              <w:spacing w:after="0"/>
              <w:rPr>
                <w:sz w:val="20"/>
                <w:szCs w:val="20"/>
                <w:color w:val="auto"/>
              </w:rPr>
            </w:pPr>
            <w:r>
              <w:rPr>
                <w:rFonts w:ascii="Arial" w:cs="Arial" w:eastAsia="Arial" w:hAnsi="Arial"/>
                <w:sz w:val="14"/>
                <w:szCs w:val="14"/>
                <w:b w:val="1"/>
                <w:bCs w:val="1"/>
                <w:color w:val="auto"/>
              </w:rPr>
              <w:t>000-51539</w:t>
            </w:r>
          </w:p>
        </w:tc>
        <w:tc>
          <w:tcPr>
            <w:tcW w:w="1460" w:type="dxa"/>
            <w:vAlign w:val="bottom"/>
          </w:tcPr>
          <w:p>
            <w:pPr>
              <w:jc w:val="center"/>
              <w:ind w:left="394"/>
              <w:spacing w:after="0"/>
              <w:rPr>
                <w:sz w:val="20"/>
                <w:szCs w:val="20"/>
                <w:color w:val="auto"/>
              </w:rPr>
            </w:pPr>
            <w:r>
              <w:rPr>
                <w:rFonts w:ascii="Arial" w:cs="Arial" w:eastAsia="Arial" w:hAnsi="Arial"/>
                <w:sz w:val="14"/>
                <w:szCs w:val="14"/>
                <w:b w:val="1"/>
                <w:bCs w:val="1"/>
                <w:color w:val="auto"/>
              </w:rPr>
              <w:t>98-0417483</w:t>
            </w:r>
          </w:p>
        </w:tc>
      </w:tr>
      <w:tr>
        <w:trPr>
          <w:trHeight w:val="182"/>
        </w:trPr>
        <w:tc>
          <w:tcPr>
            <w:tcW w:w="1880" w:type="dxa"/>
            <w:vAlign w:val="bottom"/>
          </w:tcPr>
          <w:p>
            <w:pPr>
              <w:jc w:val="center"/>
              <w:ind w:right="314"/>
              <w:spacing w:after="0"/>
              <w:rPr>
                <w:sz w:val="20"/>
                <w:szCs w:val="20"/>
                <w:color w:val="auto"/>
              </w:rPr>
            </w:pPr>
            <w:r>
              <w:rPr>
                <w:rFonts w:ascii="Arial" w:cs="Arial" w:eastAsia="Arial" w:hAnsi="Arial"/>
                <w:sz w:val="13"/>
                <w:szCs w:val="13"/>
                <w:color w:val="auto"/>
                <w:w w:val="96"/>
              </w:rPr>
              <w:t>(State or Other Jurisdiction</w:t>
            </w:r>
          </w:p>
        </w:tc>
        <w:tc>
          <w:tcPr>
            <w:tcW w:w="1800" w:type="dxa"/>
            <w:vAlign w:val="bottom"/>
          </w:tcPr>
          <w:p>
            <w:pPr>
              <w:jc w:val="center"/>
              <w:spacing w:after="0"/>
              <w:rPr>
                <w:sz w:val="20"/>
                <w:szCs w:val="20"/>
                <w:color w:val="auto"/>
              </w:rPr>
            </w:pPr>
            <w:r>
              <w:rPr>
                <w:rFonts w:ascii="Arial" w:cs="Arial" w:eastAsia="Arial" w:hAnsi="Arial"/>
                <w:sz w:val="13"/>
                <w:szCs w:val="13"/>
                <w:color w:val="auto"/>
                <w:w w:val="97"/>
              </w:rPr>
              <w:t>(Commission File</w:t>
            </w:r>
          </w:p>
        </w:tc>
        <w:tc>
          <w:tcPr>
            <w:tcW w:w="1460" w:type="dxa"/>
            <w:vAlign w:val="bottom"/>
          </w:tcPr>
          <w:p>
            <w:pPr>
              <w:jc w:val="center"/>
              <w:ind w:left="394"/>
              <w:spacing w:after="0"/>
              <w:rPr>
                <w:sz w:val="20"/>
                <w:szCs w:val="20"/>
                <w:color w:val="auto"/>
              </w:rPr>
            </w:pPr>
            <w:r>
              <w:rPr>
                <w:rFonts w:ascii="Arial" w:cs="Arial" w:eastAsia="Arial" w:hAnsi="Arial"/>
                <w:sz w:val="13"/>
                <w:szCs w:val="13"/>
                <w:color w:val="auto"/>
                <w:w w:val="99"/>
              </w:rPr>
              <w:t>(IRS Employer</w:t>
            </w:r>
          </w:p>
        </w:tc>
      </w:tr>
      <w:tr>
        <w:trPr>
          <w:trHeight w:val="153"/>
        </w:trPr>
        <w:tc>
          <w:tcPr>
            <w:tcW w:w="1880" w:type="dxa"/>
            <w:vAlign w:val="bottom"/>
          </w:tcPr>
          <w:p>
            <w:pPr>
              <w:jc w:val="center"/>
              <w:ind w:right="314"/>
              <w:spacing w:after="0"/>
              <w:rPr>
                <w:sz w:val="20"/>
                <w:szCs w:val="20"/>
                <w:color w:val="auto"/>
              </w:rPr>
            </w:pPr>
            <w:r>
              <w:rPr>
                <w:rFonts w:ascii="Arial" w:cs="Arial" w:eastAsia="Arial" w:hAnsi="Arial"/>
                <w:sz w:val="13"/>
                <w:szCs w:val="13"/>
                <w:color w:val="auto"/>
                <w:w w:val="99"/>
              </w:rPr>
              <w:t>of Incorporation)</w:t>
            </w:r>
          </w:p>
        </w:tc>
        <w:tc>
          <w:tcPr>
            <w:tcW w:w="1800" w:type="dxa"/>
            <w:vAlign w:val="bottom"/>
          </w:tcPr>
          <w:p>
            <w:pPr>
              <w:jc w:val="center"/>
              <w:spacing w:after="0"/>
              <w:rPr>
                <w:sz w:val="20"/>
                <w:szCs w:val="20"/>
                <w:color w:val="auto"/>
              </w:rPr>
            </w:pPr>
            <w:r>
              <w:rPr>
                <w:rFonts w:ascii="Arial" w:cs="Arial" w:eastAsia="Arial" w:hAnsi="Arial"/>
                <w:sz w:val="13"/>
                <w:szCs w:val="13"/>
                <w:color w:val="auto"/>
                <w:w w:val="98"/>
              </w:rPr>
              <w:t>Number)</w:t>
            </w:r>
          </w:p>
        </w:tc>
        <w:tc>
          <w:tcPr>
            <w:tcW w:w="1460" w:type="dxa"/>
            <w:vAlign w:val="bottom"/>
          </w:tcPr>
          <w:p>
            <w:pPr>
              <w:jc w:val="center"/>
              <w:ind w:left="394"/>
              <w:spacing w:after="0"/>
              <w:rPr>
                <w:sz w:val="20"/>
                <w:szCs w:val="20"/>
                <w:color w:val="auto"/>
              </w:rPr>
            </w:pPr>
            <w:r>
              <w:rPr>
                <w:rFonts w:ascii="Arial" w:cs="Arial" w:eastAsia="Arial" w:hAnsi="Arial"/>
                <w:sz w:val="13"/>
                <w:szCs w:val="13"/>
                <w:color w:val="auto"/>
                <w:w w:val="98"/>
              </w:rPr>
              <w:t>Identification No.)</w:t>
            </w:r>
          </w:p>
        </w:tc>
      </w:tr>
    </w:tbl>
    <w:p>
      <w:pPr>
        <w:spacing w:after="0" w:line="12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Building D, Xerox Technology Park</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A91 H9N9</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Dundalk, Co. Louth</w:t>
      </w:r>
    </w:p>
    <w:p>
      <w:pPr>
        <w:spacing w:after="0" w:line="4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Ireland</w:t>
      </w:r>
    </w:p>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3"/>
          <w:szCs w:val="13"/>
          <w:color w:val="auto"/>
        </w:rPr>
        <w:t>(Address of Principal Executive Offices)</w:t>
      </w:r>
    </w:p>
    <w:p>
      <w:pPr>
        <w:spacing w:after="0" w:line="85"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Registrant’s telephone number, including area code: +353 42 938 8500</w:t>
      </w:r>
    </w:p>
    <w:p>
      <w:pPr>
        <w:spacing w:after="0" w:line="179"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Not applicable</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3"/>
          <w:szCs w:val="13"/>
          <w:color w:val="auto"/>
        </w:rPr>
        <w:t>(Former Name or Former Address, if Changed Since Last Report)</w:t>
      </w:r>
    </w:p>
    <w:p>
      <w:pPr>
        <w:ind w:left="4480"/>
        <w:spacing w:after="0"/>
        <w:rPr>
          <w:sz w:val="20"/>
          <w:szCs w:val="20"/>
          <w:color w:val="auto"/>
        </w:rPr>
      </w:pPr>
      <w:r>
        <w:rPr>
          <w:rFonts w:ascii="Arial" w:cs="Arial" w:eastAsia="Arial" w:hAnsi="Arial"/>
          <w:sz w:val="10"/>
          <w:szCs w:val="10"/>
          <w:color w:val="auto"/>
        </w:rPr>
        <w:t>__________________________________________</w:t>
      </w:r>
    </w:p>
    <w:p>
      <w:pPr>
        <w:spacing w:after="0" w:line="188" w:lineRule="exact"/>
        <w:rPr>
          <w:sz w:val="24"/>
          <w:szCs w:val="24"/>
          <w:color w:val="auto"/>
        </w:rPr>
      </w:pPr>
    </w:p>
    <w:p>
      <w:pPr>
        <w:ind w:left="2260" w:right="2400"/>
        <w:spacing w:after="0" w:line="244" w:lineRule="auto"/>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2620" w:hanging="355"/>
        <w:spacing w:after="0"/>
        <w:tabs>
          <w:tab w:leader="none" w:pos="2620" w:val="left"/>
        </w:tabs>
        <w:numPr>
          <w:ilvl w:val="0"/>
          <w:numId w:val="1"/>
        </w:numPr>
        <w:rPr>
          <w:rFonts w:ascii="MS PGothic" w:cs="MS PGothic" w:eastAsia="MS PGothic" w:hAnsi="MS PGothic"/>
          <w:sz w:val="11"/>
          <w:szCs w:val="11"/>
          <w:color w:val="auto"/>
        </w:rPr>
      </w:pPr>
      <w:r>
        <w:rPr>
          <w:rFonts w:ascii="Arial" w:cs="Arial" w:eastAsia="Arial" w:hAnsi="Arial"/>
          <w:sz w:val="13"/>
          <w:szCs w:val="13"/>
          <w:color w:val="auto"/>
        </w:rPr>
        <w:t>Written communications pursuant to Rule 425 under the Securities Act (17 CFR 230.425)</w:t>
      </w:r>
    </w:p>
    <w:p>
      <w:pPr>
        <w:spacing w:after="0" w:line="221" w:lineRule="exact"/>
        <w:rPr>
          <w:rFonts w:ascii="MS PGothic" w:cs="MS PGothic" w:eastAsia="MS PGothic" w:hAnsi="MS PGothic"/>
          <w:sz w:val="11"/>
          <w:szCs w:val="11"/>
          <w:color w:val="auto"/>
        </w:rPr>
      </w:pPr>
    </w:p>
    <w:p>
      <w:pPr>
        <w:ind w:left="2620" w:hanging="355"/>
        <w:spacing w:after="0"/>
        <w:tabs>
          <w:tab w:leader="none" w:pos="2620" w:val="left"/>
        </w:tabs>
        <w:numPr>
          <w:ilvl w:val="0"/>
          <w:numId w:val="1"/>
        </w:numPr>
        <w:rPr>
          <w:rFonts w:ascii="MS PGothic" w:cs="MS PGothic" w:eastAsia="MS PGothic" w:hAnsi="MS PGothic"/>
          <w:sz w:val="11"/>
          <w:szCs w:val="11"/>
          <w:color w:val="auto"/>
        </w:rPr>
      </w:pPr>
      <w:r>
        <w:rPr>
          <w:rFonts w:ascii="Arial" w:cs="Arial" w:eastAsia="Arial" w:hAnsi="Arial"/>
          <w:sz w:val="13"/>
          <w:szCs w:val="13"/>
          <w:color w:val="auto"/>
        </w:rPr>
        <w:t>Soliciting material pursuant to Rule 14a-12 under the Exchange Act (17 CFR 240.14a-12)</w:t>
      </w:r>
    </w:p>
    <w:p>
      <w:pPr>
        <w:spacing w:after="0" w:line="221" w:lineRule="exact"/>
        <w:rPr>
          <w:rFonts w:ascii="MS PGothic" w:cs="MS PGothic" w:eastAsia="MS PGothic" w:hAnsi="MS PGothic"/>
          <w:sz w:val="11"/>
          <w:szCs w:val="11"/>
          <w:color w:val="auto"/>
        </w:rPr>
      </w:pPr>
    </w:p>
    <w:p>
      <w:pPr>
        <w:ind w:left="2620" w:hanging="355"/>
        <w:spacing w:after="0"/>
        <w:tabs>
          <w:tab w:leader="none" w:pos="2620" w:val="left"/>
        </w:tabs>
        <w:numPr>
          <w:ilvl w:val="0"/>
          <w:numId w:val="1"/>
        </w:numPr>
        <w:rPr>
          <w:rFonts w:ascii="MS PGothic" w:cs="MS PGothic" w:eastAsia="MS PGothic" w:hAnsi="MS PGothic"/>
          <w:sz w:val="11"/>
          <w:szCs w:val="11"/>
          <w:color w:val="auto"/>
        </w:rPr>
      </w:pPr>
      <w:r>
        <w:rPr>
          <w:rFonts w:ascii="Arial" w:cs="Arial" w:eastAsia="Arial" w:hAnsi="Arial"/>
          <w:sz w:val="13"/>
          <w:szCs w:val="13"/>
          <w:color w:val="auto"/>
        </w:rPr>
        <w:t>Pre-commencement communications pursuant to Rule 14d-2(b) under the Exchange Act (17 CFR 240.14d-2(b))</w:t>
      </w:r>
    </w:p>
    <w:p>
      <w:pPr>
        <w:spacing w:after="0" w:line="221" w:lineRule="exact"/>
        <w:rPr>
          <w:rFonts w:ascii="MS PGothic" w:cs="MS PGothic" w:eastAsia="MS PGothic" w:hAnsi="MS PGothic"/>
          <w:sz w:val="11"/>
          <w:szCs w:val="11"/>
          <w:color w:val="auto"/>
        </w:rPr>
      </w:pPr>
    </w:p>
    <w:p>
      <w:pPr>
        <w:ind w:left="2620" w:hanging="355"/>
        <w:spacing w:after="0"/>
        <w:tabs>
          <w:tab w:leader="none" w:pos="2620" w:val="left"/>
        </w:tabs>
        <w:numPr>
          <w:ilvl w:val="0"/>
          <w:numId w:val="1"/>
        </w:numPr>
        <w:rPr>
          <w:rFonts w:ascii="MS PGothic" w:cs="MS PGothic" w:eastAsia="MS PGothic" w:hAnsi="MS PGothic"/>
          <w:sz w:val="11"/>
          <w:szCs w:val="11"/>
          <w:color w:val="auto"/>
        </w:rPr>
      </w:pPr>
      <w:r>
        <w:rPr>
          <w:rFonts w:ascii="Arial" w:cs="Arial" w:eastAsia="Arial" w:hAnsi="Arial"/>
          <w:sz w:val="13"/>
          <w:szCs w:val="13"/>
          <w:color w:val="auto"/>
        </w:rPr>
        <w:t>Pre-commencement communications pursuant to Rule 13e-4(c) under the Exchange Act (17 CFR 240.13e-4(c))</w:t>
      </w:r>
    </w:p>
    <w:p>
      <w:pPr>
        <w:spacing w:after="0" w:line="116" w:lineRule="exact"/>
        <w:rPr>
          <w:sz w:val="24"/>
          <w:szCs w:val="24"/>
          <w:color w:val="auto"/>
        </w:rPr>
      </w:pPr>
    </w:p>
    <w:p>
      <w:pPr>
        <w:spacing w:after="0" w:line="244"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9" w:lineRule="exact"/>
        <w:rPr>
          <w:sz w:val="24"/>
          <w:szCs w:val="24"/>
          <w:color w:val="auto"/>
        </w:rPr>
      </w:pPr>
    </w:p>
    <w:p>
      <w:pPr>
        <w:ind w:left="11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1"/>
          <w:szCs w:val="11"/>
          <w:color w:val="auto"/>
        </w:rPr>
        <w:t>☐</w:t>
      </w:r>
    </w:p>
    <w:p>
      <w:pPr>
        <w:spacing w:after="0" w:line="131" w:lineRule="exact"/>
        <w:rPr>
          <w:sz w:val="24"/>
          <w:szCs w:val="24"/>
          <w:color w:val="auto"/>
        </w:rPr>
      </w:pPr>
    </w:p>
    <w:p>
      <w:pPr>
        <w:ind w:right="300"/>
        <w:spacing w:after="0" w:line="158"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77" w:lineRule="exact"/>
        <w:rPr>
          <w:sz w:val="24"/>
          <w:szCs w:val="24"/>
          <w:color w:val="auto"/>
        </w:rPr>
      </w:pPr>
    </w:p>
    <w:p>
      <w:pP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72" w:lineRule="exact"/>
        <w:rPr>
          <w:sz w:val="24"/>
          <w:szCs w:val="24"/>
          <w:color w:val="auto"/>
        </w:rPr>
      </w:pPr>
    </w:p>
    <w:tbl>
      <w:tblPr>
        <w:tblLayout w:type="fixed"/>
        <w:tblInd w:w="560" w:type="dxa"/>
        <w:tblCellMar>
          <w:top w:w="0" w:type="dxa"/>
          <w:left w:w="0" w:type="dxa"/>
          <w:bottom w:w="0" w:type="dxa"/>
          <w:right w:w="0" w:type="dxa"/>
        </w:tblCellMar>
      </w:tblPr>
      <w:tr>
        <w:trPr>
          <w:trHeight w:val="130"/>
        </w:trPr>
        <w:tc>
          <w:tcPr>
            <w:tcW w:w="3700" w:type="dxa"/>
            <w:vAlign w:val="bottom"/>
            <w:gridSpan w:val="2"/>
          </w:tcPr>
          <w:p>
            <w:pPr>
              <w:jc w:val="center"/>
              <w:ind w:right="860"/>
              <w:spacing w:after="0"/>
              <w:rPr>
                <w:sz w:val="20"/>
                <w:szCs w:val="20"/>
                <w:color w:val="auto"/>
              </w:rPr>
            </w:pPr>
            <w:r>
              <w:rPr>
                <w:rFonts w:ascii="Arial" w:cs="Arial" w:eastAsia="Arial" w:hAnsi="Arial"/>
                <w:sz w:val="10"/>
                <w:szCs w:val="10"/>
                <w:b w:val="1"/>
                <w:bCs w:val="1"/>
                <w:color w:val="auto"/>
                <w:w w:val="98"/>
              </w:rPr>
              <w:t>Title of Each Class</w:t>
            </w:r>
          </w:p>
        </w:tc>
        <w:tc>
          <w:tcPr>
            <w:tcW w:w="2860" w:type="dxa"/>
            <w:vAlign w:val="bottom"/>
          </w:tcPr>
          <w:p>
            <w:pPr>
              <w:jc w:val="center"/>
              <w:ind w:right="223"/>
              <w:spacing w:after="0"/>
              <w:rPr>
                <w:sz w:val="20"/>
                <w:szCs w:val="20"/>
                <w:color w:val="auto"/>
              </w:rPr>
            </w:pPr>
            <w:r>
              <w:rPr>
                <w:rFonts w:ascii="Arial" w:cs="Arial" w:eastAsia="Arial" w:hAnsi="Arial"/>
                <w:sz w:val="10"/>
                <w:szCs w:val="10"/>
                <w:b w:val="1"/>
                <w:bCs w:val="1"/>
                <w:color w:val="auto"/>
                <w:w w:val="97"/>
              </w:rPr>
              <w:t>Trading Symbol(s)</w:t>
            </w:r>
          </w:p>
        </w:tc>
        <w:tc>
          <w:tcPr>
            <w:tcW w:w="3120" w:type="dxa"/>
            <w:vAlign w:val="bottom"/>
            <w:gridSpan w:val="2"/>
          </w:tcPr>
          <w:p>
            <w:pPr>
              <w:ind w:left="1140"/>
              <w:spacing w:after="0"/>
              <w:rPr>
                <w:sz w:val="20"/>
                <w:szCs w:val="20"/>
                <w:color w:val="auto"/>
              </w:rPr>
            </w:pPr>
            <w:r>
              <w:rPr>
                <w:rFonts w:ascii="Arial" w:cs="Arial" w:eastAsia="Arial" w:hAnsi="Arial"/>
                <w:sz w:val="10"/>
                <w:szCs w:val="10"/>
                <w:b w:val="1"/>
                <w:bCs w:val="1"/>
                <w:color w:val="auto"/>
              </w:rPr>
              <w:t>Name of Exchange on Which Registered</w:t>
            </w:r>
          </w:p>
        </w:tc>
      </w:tr>
      <w:tr>
        <w:trPr>
          <w:trHeight w:val="201"/>
        </w:trPr>
        <w:tc>
          <w:tcPr>
            <w:tcW w:w="3700" w:type="dxa"/>
            <w:vAlign w:val="bottom"/>
            <w:gridSpan w:val="2"/>
          </w:tcPr>
          <w:p>
            <w:pPr>
              <w:jc w:val="center"/>
              <w:ind w:right="860"/>
              <w:spacing w:after="0"/>
              <w:rPr>
                <w:sz w:val="20"/>
                <w:szCs w:val="20"/>
                <w:color w:val="auto"/>
              </w:rPr>
            </w:pPr>
            <w:r>
              <w:rPr>
                <w:rFonts w:ascii="Arial" w:cs="Arial" w:eastAsia="Arial" w:hAnsi="Arial"/>
                <w:sz w:val="13"/>
                <w:szCs w:val="13"/>
                <w:color w:val="auto"/>
                <w:w w:val="97"/>
              </w:rPr>
              <w:t>Ordinary Shares, nominal value per share of €0.01</w:t>
            </w:r>
          </w:p>
        </w:tc>
        <w:tc>
          <w:tcPr>
            <w:tcW w:w="2860" w:type="dxa"/>
            <w:vAlign w:val="bottom"/>
          </w:tcPr>
          <w:p>
            <w:pPr>
              <w:jc w:val="center"/>
              <w:ind w:right="223"/>
              <w:spacing w:after="0"/>
              <w:rPr>
                <w:sz w:val="20"/>
                <w:szCs w:val="20"/>
                <w:color w:val="auto"/>
              </w:rPr>
            </w:pPr>
            <w:r>
              <w:rPr>
                <w:rFonts w:ascii="Arial" w:cs="Arial" w:eastAsia="Arial" w:hAnsi="Arial"/>
                <w:sz w:val="13"/>
                <w:szCs w:val="13"/>
                <w:color w:val="auto"/>
                <w:w w:val="99"/>
              </w:rPr>
              <w:t>CMPR</w:t>
            </w:r>
          </w:p>
        </w:tc>
        <w:tc>
          <w:tcPr>
            <w:tcW w:w="3120" w:type="dxa"/>
            <w:vAlign w:val="bottom"/>
            <w:gridSpan w:val="2"/>
          </w:tcPr>
          <w:p>
            <w:pPr>
              <w:ind w:left="1360"/>
              <w:spacing w:after="0"/>
              <w:rPr>
                <w:sz w:val="20"/>
                <w:szCs w:val="20"/>
                <w:color w:val="auto"/>
              </w:rPr>
            </w:pPr>
            <w:r>
              <w:rPr>
                <w:rFonts w:ascii="Arial" w:cs="Arial" w:eastAsia="Arial" w:hAnsi="Arial"/>
                <w:sz w:val="13"/>
                <w:szCs w:val="13"/>
                <w:color w:val="auto"/>
                <w:w w:val="97"/>
              </w:rPr>
              <w:t>NASDAQ Global Select Market</w:t>
            </w:r>
          </w:p>
        </w:tc>
      </w:tr>
      <w:tr>
        <w:trPr>
          <w:trHeight w:val="132"/>
        </w:trPr>
        <w:tc>
          <w:tcPr>
            <w:tcW w:w="1560" w:type="dxa"/>
            <w:vAlign w:val="bottom"/>
          </w:tcPr>
          <w:p>
            <w:pPr>
              <w:spacing w:after="0"/>
              <w:rPr>
                <w:sz w:val="11"/>
                <w:szCs w:val="11"/>
                <w:color w:val="auto"/>
              </w:rPr>
            </w:pPr>
          </w:p>
        </w:tc>
        <w:tc>
          <w:tcPr>
            <w:tcW w:w="2140" w:type="dxa"/>
            <w:vAlign w:val="bottom"/>
            <w:tcBorders>
              <w:bottom w:val="single" w:sz="8" w:color="auto"/>
            </w:tcBorders>
          </w:tcPr>
          <w:p>
            <w:pPr>
              <w:spacing w:after="0"/>
              <w:rPr>
                <w:sz w:val="11"/>
                <w:szCs w:val="11"/>
                <w:color w:val="auto"/>
              </w:rPr>
            </w:pPr>
          </w:p>
        </w:tc>
        <w:tc>
          <w:tcPr>
            <w:tcW w:w="286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r>
      <w:tr>
        <w:trPr>
          <w:trHeight w:val="86"/>
        </w:trPr>
        <w:tc>
          <w:tcPr>
            <w:tcW w:w="1560" w:type="dxa"/>
            <w:vAlign w:val="bottom"/>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2860" w:type="dxa"/>
            <w:vAlign w:val="bottom"/>
            <w:tcBorders>
              <w:bottom w:val="single" w:sz="8" w:color="auto"/>
            </w:tcBorders>
          </w:tcPr>
          <w:p>
            <w:pPr>
              <w:spacing w:after="0"/>
              <w:rPr>
                <w:sz w:val="7"/>
                <w:szCs w:val="7"/>
                <w:color w:val="auto"/>
              </w:rPr>
            </w:pPr>
          </w:p>
        </w:tc>
        <w:tc>
          <w:tcPr>
            <w:tcW w:w="2060" w:type="dxa"/>
            <w:vAlign w:val="bottom"/>
            <w:tcBorders>
              <w:bottom w:val="single" w:sz="8" w:color="auto"/>
            </w:tcBorders>
          </w:tcPr>
          <w:p>
            <w:pPr>
              <w:spacing w:after="0"/>
              <w:rPr>
                <w:sz w:val="7"/>
                <w:szCs w:val="7"/>
                <w:color w:val="auto"/>
              </w:rPr>
            </w:pPr>
          </w:p>
        </w:tc>
        <w:tc>
          <w:tcPr>
            <w:tcW w:w="1060" w:type="dxa"/>
            <w:vAlign w:val="bottom"/>
          </w:tcPr>
          <w:p>
            <w:pPr>
              <w:spacing w:after="0"/>
              <w:rPr>
                <w:sz w:val="7"/>
                <w:szCs w:val="7"/>
                <w:color w:val="auto"/>
              </w:rPr>
            </w:pPr>
          </w:p>
        </w:tc>
      </w:tr>
    </w:tbl>
    <w:p>
      <w:pPr>
        <w:sectPr>
          <w:pgSz w:w="11900" w:h="16838" w:orient="portrait"/>
          <w:cols w:equalWidth="0" w:num="1">
            <w:col w:w="11220"/>
          </w:cols>
          <w:pgMar w:left="300" w:top="857" w:right="379" w:bottom="1440" w:gutter="0" w:footer="0" w:header="0"/>
        </w:sectPr>
      </w:pPr>
    </w:p>
    <w:bookmarkStart w:id="1" w:name="page2"/>
    <w:bookmarkEnd w:id="1"/>
    <w:p>
      <w:pPr>
        <w:spacing w:after="0"/>
        <w:tabs>
          <w:tab w:leader="none" w:pos="780" w:val="left"/>
        </w:tabs>
        <w:rPr>
          <w:sz w:val="20"/>
          <w:szCs w:val="20"/>
          <w:color w:val="auto"/>
        </w:rPr>
      </w:pPr>
      <w:r>
        <w:rPr>
          <w:rFonts w:ascii="Arial" w:cs="Arial" w:eastAsia="Arial" w:hAnsi="Arial"/>
          <w:sz w:val="14"/>
          <w:szCs w:val="14"/>
          <w:b w:val="1"/>
          <w:bCs w:val="1"/>
          <w:color w:val="auto"/>
        </w:rPr>
        <w:t>Item 8.01.</w:t>
        <w:tab/>
        <w:t>Other Events</w:t>
      </w:r>
    </w:p>
    <w:p>
      <w:pPr>
        <w:spacing w:after="0" w:line="197" w:lineRule="exact"/>
        <w:rPr>
          <w:sz w:val="20"/>
          <w:szCs w:val="20"/>
          <w:color w:val="auto"/>
        </w:rPr>
      </w:pPr>
    </w:p>
    <w:p>
      <w:pPr>
        <w:ind w:firstLine="255"/>
        <w:spacing w:after="0" w:line="257" w:lineRule="auto"/>
        <w:rPr>
          <w:sz w:val="20"/>
          <w:szCs w:val="20"/>
          <w:color w:val="auto"/>
        </w:rPr>
      </w:pPr>
      <w:r>
        <w:rPr>
          <w:rFonts w:ascii="Arial" w:cs="Arial" w:eastAsia="Arial" w:hAnsi="Arial"/>
          <w:sz w:val="14"/>
          <w:szCs w:val="14"/>
          <w:color w:val="auto"/>
        </w:rPr>
        <w:t>On October 1, 2020, under the terms of the Agreement and Plan of Merger dated as of September 28, 2020 among Cimpress USA Incorporated, a Delaware corporation ("Parent"), Cactus Merger Sub, Inc., a Delaware corporation and a wholly owned subsidiary of Parent, 99designs, Inc., a Delaware corporation ("99designs"), and Shareholders Representative Services, as the securityholders' representative, Cimpress acquired 99designs for an undisclosed cash consideration, a portion of which was paid at closing and the remainder of which will be paid on February 15, 2022. Cimpress used its existing credit facility to fund the transaction.</w:t>
      </w:r>
    </w:p>
    <w:p>
      <w:pPr>
        <w:spacing w:after="0" w:line="159" w:lineRule="exact"/>
        <w:rPr>
          <w:sz w:val="20"/>
          <w:szCs w:val="20"/>
          <w:color w:val="auto"/>
        </w:rPr>
      </w:pPr>
    </w:p>
    <w:p>
      <w:pPr>
        <w:ind w:right="240" w:firstLine="255"/>
        <w:spacing w:after="0" w:line="266" w:lineRule="auto"/>
        <w:rPr>
          <w:sz w:val="20"/>
          <w:szCs w:val="20"/>
          <w:color w:val="auto"/>
        </w:rPr>
      </w:pPr>
      <w:r>
        <w:rPr>
          <w:rFonts w:ascii="Arial" w:cs="Arial" w:eastAsia="Arial" w:hAnsi="Arial"/>
          <w:sz w:val="14"/>
          <w:szCs w:val="14"/>
          <w:color w:val="auto"/>
        </w:rPr>
        <w:t>Cimpress’ estimated pro forma liquidity (unrestricted cash plus available revolver) was approximately $500 million as of September 30, 2020 adjusted for the first acquisition payment made on October 1, 2020. This compares to liquidity as of June 30, 2020 of $467 million.</w:t>
      </w:r>
    </w:p>
    <w:p>
      <w:pPr>
        <w:spacing w:after="0" w:line="15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For additional information on this transaction, see Vistaprint’s press release dated October 5, 2020, attached as Exhibit 99.1.</w:t>
      </w:r>
    </w:p>
    <w:p>
      <w:pPr>
        <w:spacing w:after="0" w:line="200" w:lineRule="exact"/>
        <w:rPr>
          <w:sz w:val="20"/>
          <w:szCs w:val="20"/>
          <w:color w:val="auto"/>
        </w:rPr>
      </w:pPr>
    </w:p>
    <w:p>
      <w:pPr>
        <w:spacing w:after="0" w:line="300"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9.01.</w:t>
        <w:tab/>
        <w:t>Financial Statements and Exhibits</w:t>
      </w:r>
    </w:p>
    <w:p>
      <w:pPr>
        <w:spacing w:after="0" w:line="179" w:lineRule="exact"/>
        <w:rPr>
          <w:sz w:val="20"/>
          <w:szCs w:val="20"/>
          <w:color w:val="auto"/>
        </w:rPr>
      </w:pPr>
    </w:p>
    <w:p>
      <w:pPr>
        <w:ind w:left="340" w:hanging="335"/>
        <w:spacing w:after="0"/>
        <w:tabs>
          <w:tab w:leader="none" w:pos="340" w:val="left"/>
        </w:tabs>
        <w:numPr>
          <w:ilvl w:val="0"/>
          <w:numId w:val="2"/>
        </w:numPr>
        <w:rPr>
          <w:rFonts w:ascii="Arial" w:cs="Arial" w:eastAsia="Arial" w:hAnsi="Arial"/>
          <w:sz w:val="14"/>
          <w:szCs w:val="14"/>
          <w:b w:val="1"/>
          <w:bCs w:val="1"/>
          <w:color w:val="auto"/>
        </w:rPr>
      </w:pPr>
      <w:r>
        <w:rPr>
          <w:rFonts w:ascii="Arial" w:cs="Arial" w:eastAsia="Arial" w:hAnsi="Arial"/>
          <w:sz w:val="14"/>
          <w:szCs w:val="14"/>
          <w:b w:val="1"/>
          <w:bCs w:val="1"/>
          <w:color w:val="auto"/>
        </w:rPr>
        <w:t>Exhibits</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0"/>
          <w:szCs w:val="10"/>
          <w:b w:val="1"/>
          <w:bCs w:val="1"/>
          <w:color w:val="auto"/>
        </w:rPr>
        <w:t>Exhibit</w:t>
      </w:r>
    </w:p>
    <w:p>
      <w:pPr>
        <w:spacing w:after="0" w:line="97" w:lineRule="exact"/>
        <w:rPr>
          <w:sz w:val="20"/>
          <w:szCs w:val="20"/>
          <w:color w:val="auto"/>
        </w:rPr>
      </w:pPr>
    </w:p>
    <w:p>
      <w:pPr>
        <w:ind w:left="420"/>
        <w:spacing w:after="0"/>
        <w:tabs>
          <w:tab w:leader="none" w:pos="5760" w:val="left"/>
        </w:tabs>
        <w:rPr>
          <w:sz w:val="20"/>
          <w:szCs w:val="20"/>
          <w:color w:val="auto"/>
        </w:rPr>
      </w:pPr>
      <w:r>
        <w:rPr>
          <w:rFonts w:ascii="Arial" w:cs="Arial" w:eastAsia="Arial" w:hAnsi="Arial"/>
          <w:sz w:val="10"/>
          <w:szCs w:val="10"/>
          <w:b w:val="1"/>
          <w:bCs w:val="1"/>
          <w:color w:val="auto"/>
        </w:rPr>
        <w:t>No.</w:t>
      </w:r>
      <w:r>
        <w:rPr>
          <w:sz w:val="20"/>
          <w:szCs w:val="20"/>
          <w:color w:val="auto"/>
        </w:rPr>
        <w:tab/>
      </w:r>
      <w:r>
        <w:rPr>
          <w:rFonts w:ascii="Arial" w:cs="Arial" w:eastAsia="Arial" w:hAnsi="Arial"/>
          <w:sz w:val="10"/>
          <w:szCs w:val="10"/>
          <w:b w:val="1"/>
          <w:bCs w:val="1"/>
          <w:color w:val="auto"/>
        </w:rPr>
        <w:t>Description</w:t>
      </w:r>
    </w:p>
    <w:p>
      <w:pPr>
        <w:spacing w:after="0" w:line="50" w:lineRule="exact"/>
        <w:rPr>
          <w:sz w:val="20"/>
          <w:szCs w:val="20"/>
          <w:color w:val="auto"/>
        </w:rPr>
      </w:pPr>
    </w:p>
    <w:p>
      <w:pPr>
        <w:ind w:left="360"/>
        <w:spacing w:after="0"/>
        <w:tabs>
          <w:tab w:leader="none" w:pos="1100" w:val="left"/>
        </w:tabs>
        <w:rPr>
          <w:rFonts w:ascii="Arial" w:cs="Arial" w:eastAsia="Arial" w:hAnsi="Arial"/>
          <w:sz w:val="14"/>
          <w:szCs w:val="14"/>
          <w:color w:val="0000FF"/>
        </w:rPr>
      </w:pPr>
      <w:hyperlink w:anchor="page4">
        <w:r>
          <w:rPr>
            <w:rFonts w:ascii="Arial" w:cs="Arial" w:eastAsia="Arial" w:hAnsi="Arial"/>
            <w:sz w:val="14"/>
            <w:szCs w:val="14"/>
            <w:u w:val="single" w:color="auto"/>
            <w:color w:val="0000FF"/>
          </w:rPr>
          <w:t>99.1</w:t>
        </w:r>
      </w:hyperlink>
      <w:r>
        <w:rPr>
          <w:rFonts w:ascii="Arial" w:cs="Arial" w:eastAsia="Arial" w:hAnsi="Arial"/>
          <w:sz w:val="14"/>
          <w:szCs w:val="14"/>
          <w:color w:val="0000FF"/>
        </w:rPr>
        <w:tab/>
        <w:t>Press release dated October 5, 2020 entitled "Vistaprint Dives into Design"</w:t>
      </w:r>
    </w:p>
    <w:p>
      <w:pPr>
        <w:spacing w:after="0" w:line="51" w:lineRule="exact"/>
        <w:rPr>
          <w:sz w:val="20"/>
          <w:szCs w:val="20"/>
          <w:color w:val="auto"/>
        </w:rPr>
      </w:pPr>
    </w:p>
    <w:p>
      <w:pPr>
        <w:ind w:left="380"/>
        <w:spacing w:after="0"/>
        <w:tabs>
          <w:tab w:leader="none" w:pos="1100" w:val="left"/>
        </w:tabs>
        <w:rPr>
          <w:sz w:val="20"/>
          <w:szCs w:val="20"/>
          <w:color w:val="auto"/>
        </w:rPr>
      </w:pPr>
      <w:r>
        <w:rPr>
          <w:rFonts w:ascii="Arial" w:cs="Arial" w:eastAsia="Arial" w:hAnsi="Arial"/>
          <w:sz w:val="14"/>
          <w:szCs w:val="14"/>
          <w:color w:val="auto"/>
        </w:rPr>
        <w:t>104</w:t>
      </w:r>
      <w:r>
        <w:rPr>
          <w:sz w:val="20"/>
          <w:szCs w:val="20"/>
          <w:color w:val="auto"/>
        </w:rPr>
        <w:tab/>
      </w:r>
      <w:r>
        <w:rPr>
          <w:rFonts w:ascii="Arial" w:cs="Arial" w:eastAsia="Arial" w:hAnsi="Arial"/>
          <w:sz w:val="14"/>
          <w:szCs w:val="14"/>
          <w:color w:val="auto"/>
        </w:rPr>
        <w:t>Cover Page Interactive Data File, formatted in iXBRL</w:t>
      </w:r>
    </w:p>
    <w:p>
      <w:pPr>
        <w:sectPr>
          <w:pgSz w:w="11900" w:h="16838" w:orient="portrait"/>
          <w:cols w:equalWidth="0" w:num="1">
            <w:col w:w="11240"/>
          </w:cols>
          <w:pgMar w:left="300" w:top="460" w:right="359" w:bottom="1440" w:gutter="0" w:footer="0" w:header="0"/>
        </w:sectPr>
      </w:pPr>
    </w:p>
    <w:bookmarkStart w:id="2" w:name="page3"/>
    <w:bookmarkEnd w:id="2"/>
    <w:p>
      <w:pPr>
        <w:ind w:left="5240"/>
        <w:spacing w:after="0"/>
        <w:rPr>
          <w:sz w:val="20"/>
          <w:szCs w:val="20"/>
          <w:color w:val="auto"/>
        </w:rPr>
      </w:pPr>
      <w:r>
        <w:rPr>
          <w:rFonts w:ascii="Arial" w:cs="Arial" w:eastAsia="Arial" w:hAnsi="Arial"/>
          <w:sz w:val="14"/>
          <w:szCs w:val="14"/>
          <w:b w:val="1"/>
          <w:bCs w:val="1"/>
          <w:color w:val="auto"/>
        </w:rPr>
        <w:t>SIGNATURE</w:t>
      </w:r>
    </w:p>
    <w:p>
      <w:pPr>
        <w:spacing w:after="0" w:line="197"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290" w:lineRule="exact"/>
        <w:rPr>
          <w:sz w:val="20"/>
          <w:szCs w:val="20"/>
          <w:color w:val="auto"/>
        </w:rPr>
      </w:pPr>
    </w:p>
    <w:p>
      <w:pPr>
        <w:ind w:left="80"/>
        <w:spacing w:after="0"/>
        <w:tabs>
          <w:tab w:leader="none" w:pos="5640" w:val="left"/>
        </w:tabs>
        <w:rPr>
          <w:sz w:val="20"/>
          <w:szCs w:val="20"/>
          <w:color w:val="auto"/>
        </w:rPr>
      </w:pPr>
      <w:r>
        <w:rPr>
          <w:rFonts w:ascii="Arial" w:cs="Arial" w:eastAsia="Arial" w:hAnsi="Arial"/>
          <w:sz w:val="14"/>
          <w:szCs w:val="14"/>
          <w:color w:val="auto"/>
        </w:rPr>
        <w:t>October 5, 2020</w:t>
      </w:r>
      <w:r>
        <w:rPr>
          <w:sz w:val="20"/>
          <w:szCs w:val="20"/>
          <w:color w:val="auto"/>
        </w:rPr>
        <w:tab/>
      </w:r>
      <w:r>
        <w:rPr>
          <w:rFonts w:ascii="Arial" w:cs="Arial" w:eastAsia="Arial" w:hAnsi="Arial"/>
          <w:sz w:val="14"/>
          <w:szCs w:val="14"/>
          <w:color w:val="auto"/>
        </w:rPr>
        <w:t>Cimpress plc</w:t>
      </w:r>
    </w:p>
    <w:p>
      <w:pPr>
        <w:spacing w:after="0" w:line="147" w:lineRule="exact"/>
        <w:rPr>
          <w:sz w:val="20"/>
          <w:szCs w:val="20"/>
          <w:color w:val="auto"/>
        </w:rPr>
      </w:pPr>
    </w:p>
    <w:p>
      <w:pPr>
        <w:ind w:left="5680"/>
        <w:spacing w:after="0"/>
        <w:tabs>
          <w:tab w:leader="none" w:pos="812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Sean E. Quinn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3877310</wp:posOffset>
            </wp:positionH>
            <wp:positionV relativeFrom="paragraph">
              <wp:posOffset>12700</wp:posOffset>
            </wp:positionV>
            <wp:extent cx="32880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8030" cy="6985"/>
                    </a:xfrm>
                    <a:prstGeom prst="rect">
                      <a:avLst/>
                    </a:prstGeom>
                    <a:noFill/>
                  </pic:spPr>
                </pic:pic>
              </a:graphicData>
            </a:graphic>
          </wp:anchor>
        </w:drawing>
      </w:r>
    </w:p>
    <w:p>
      <w:pPr>
        <w:spacing w:after="0" w:line="28" w:lineRule="exact"/>
        <w:rPr>
          <w:sz w:val="20"/>
          <w:szCs w:val="20"/>
          <w:color w:val="auto"/>
        </w:rPr>
      </w:pPr>
    </w:p>
    <w:p>
      <w:pPr>
        <w:jc w:val="center"/>
        <w:ind w:left="6080"/>
        <w:spacing w:after="0"/>
        <w:rPr>
          <w:sz w:val="20"/>
          <w:szCs w:val="20"/>
          <w:color w:val="auto"/>
        </w:rPr>
      </w:pPr>
      <w:r>
        <w:rPr>
          <w:rFonts w:ascii="Arial" w:cs="Arial" w:eastAsia="Arial" w:hAnsi="Arial"/>
          <w:sz w:val="13"/>
          <w:szCs w:val="13"/>
          <w:b w:val="1"/>
          <w:bCs w:val="1"/>
          <w:color w:val="auto"/>
        </w:rPr>
        <w:t>Sean E. Quinn</w:t>
      </w:r>
    </w:p>
    <w:p>
      <w:pPr>
        <w:spacing w:after="0" w:line="63" w:lineRule="exact"/>
        <w:rPr>
          <w:sz w:val="20"/>
          <w:szCs w:val="20"/>
          <w:color w:val="auto"/>
        </w:rPr>
      </w:pPr>
    </w:p>
    <w:p>
      <w:pPr>
        <w:jc w:val="center"/>
        <w:ind w:left="6080"/>
        <w:spacing w:after="0"/>
        <w:rPr>
          <w:sz w:val="20"/>
          <w:szCs w:val="20"/>
          <w:color w:val="auto"/>
        </w:rPr>
      </w:pPr>
      <w:r>
        <w:rPr>
          <w:rFonts w:ascii="Arial" w:cs="Arial" w:eastAsia="Arial" w:hAnsi="Arial"/>
          <w:sz w:val="13"/>
          <w:szCs w:val="13"/>
          <w:b w:val="1"/>
          <w:bCs w:val="1"/>
          <w:color w:val="auto"/>
        </w:rPr>
        <w:t>Executive Vice President and Chief Financial Officer</w:t>
      </w:r>
    </w:p>
    <w:p>
      <w:pPr>
        <w:sectPr>
          <w:pgSz w:w="11900" w:h="16838" w:orient="portrait"/>
          <w:cols w:equalWidth="0" w:num="1">
            <w:col w:w="10680"/>
          </w:cols>
          <w:pgMar w:left="300" w:top="460" w:right="91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2020-10-05T07:02:38Z</dcterms:created>
  <dcterms:modified xsi:type="dcterms:W3CDTF">2020-10-05T07:02:38Z</dcterms:modified>
</cp:coreProperties>
</file>