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10-K</w:t>
      </w:r>
    </w:p>
    <w:tbl>
      <w:tblPr>
        <w:tblW w:w="9145" w:type="dxa"/>
        <w:jc w:val="center"/>
        <w:tblInd w:w="0" w:type="dxa"/>
        <w:tblLayout w:type="fixed"/>
        <w:tblCellMar>
          <w:top w:w="28" w:type="dxa"/>
          <w:left w:w="28" w:type="dxa"/>
          <w:bottom w:w="28" w:type="dxa"/>
          <w:right w:w="28" w:type="dxa"/>
        </w:tblCellMar>
      </w:tblPr>
      <w:tblGrid>
        <w:gridCol w:w="183"/>
        <w:gridCol w:w="161"/>
        <w:gridCol w:w="161"/>
        <w:gridCol w:w="1343"/>
        <w:gridCol w:w="1343"/>
        <w:gridCol w:w="1343"/>
        <w:gridCol w:w="1343"/>
        <w:gridCol w:w="1343"/>
        <w:gridCol w:w="1925"/>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45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(Mark One)</w:t>
            </w:r>
          </w:p>
        </w:tc>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ANNUAL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7"/>
              </w:rPr>
            </w:pPr>
            <w:r>
              <w:rPr>
                <w:rFonts w:ascii="Arial;sans-serif" w:hAnsi="Arial;sans-serif"/>
                <w:b/>
                <w:color w:val="000000"/>
                <w:sz w:val="17"/>
              </w:rPr>
              <w:t>For the fiscal year ended</w:t>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June 30, 2026</w:t>
            </w:r>
          </w:p>
        </w:tc>
      </w:tr>
      <w:tr>
        <w:trPr/>
        <w:tc>
          <w:tcPr>
            <w:tcW w:w="9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or</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TRANSITION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transition period from               to               </w:t>
            </w:r>
          </w:p>
        </w:tc>
      </w:tr>
    </w:tbl>
    <w:p>
      <w:pPr>
        <w:pStyle w:val="TextBody"/>
        <w:bidi w:val="0"/>
        <w:spacing w:lineRule="auto" w:line="288" w:before="40" w:after="283"/>
        <w:jc w:val="center"/>
        <w:rPr>
          <w:rFonts w:ascii="Arial;sans-serif" w:hAnsi="Arial;sans-serif"/>
          <w:b/>
          <w:color w:val="000000"/>
          <w:sz w:val="17"/>
        </w:rPr>
      </w:pPr>
      <w:r>
        <w:rPr>
          <w:rFonts w:ascii="Arial;sans-serif" w:hAnsi="Arial;sans-serif"/>
          <w:b/>
          <w:color w:val="000000"/>
          <w:sz w:val="17"/>
        </w:rPr>
        <w:t xml:space="preserve">Commission file number 000-51539 </w:t>
      </w:r>
    </w:p>
    <w:p>
      <w:pPr>
        <w:pStyle w:val="TextBody"/>
        <w:bidi w:val="0"/>
        <w:spacing w:lineRule="auto" w:line="288" w:before="4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tbl>
      <w:tblPr>
        <w:tblW w:w="4510" w:type="dxa"/>
        <w:jc w:val="left"/>
        <w:tblInd w:w="0" w:type="dxa"/>
        <w:tblLayout w:type="fixed"/>
        <w:tblCellMar>
          <w:top w:w="28" w:type="dxa"/>
          <w:left w:w="28" w:type="dxa"/>
          <w:bottom w:w="28" w:type="dxa"/>
          <w:right w:w="28" w:type="dxa"/>
        </w:tblCellMar>
      </w:tblPr>
      <w:tblGrid>
        <w:gridCol w:w="471"/>
        <w:gridCol w:w="414"/>
        <w:gridCol w:w="414"/>
        <w:gridCol w:w="414"/>
        <w:gridCol w:w="414"/>
        <w:gridCol w:w="422"/>
        <w:gridCol w:w="109"/>
        <w:gridCol w:w="109"/>
        <w:gridCol w:w="109"/>
        <w:gridCol w:w="476"/>
        <w:gridCol w:w="476"/>
        <w:gridCol w:w="682"/>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98-0417483</w:t>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pPr>
            <w:r>
              <w:rPr>
                <w:rFonts w:ascii="Arial;sans-serif" w:hAnsi="Arial;sans-serif"/>
                <w:b/>
                <w:color w:val="000000"/>
                <w:sz w:val="16"/>
              </w:rPr>
              <w:t>Identification No.)</w:t>
            </w:r>
            <w:r>
              <w:rPr>
                <w:color w:val="000000"/>
              </w:rPr>
              <w:t xml:space="preserve"> </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First Floor Building 3, Finnabair Business and Technology Park A91 XR61,</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Dundalk, Co. Louth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Ireland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353 42 938 8500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center"/>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790"/>
        <w:gridCol w:w="790"/>
        <w:gridCol w:w="1120"/>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of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w:t>
      </w:r>
    </w:p>
    <w:p>
      <w:pPr>
        <w:pStyle w:val="TextBody"/>
        <w:bidi w:val="0"/>
        <w:spacing w:lineRule="auto" w:line="288" w:before="20" w:after="283"/>
        <w:jc w:val="left"/>
        <w:rPr>
          <w:color w:val="000000"/>
        </w:rPr>
      </w:pPr>
      <w:r>
        <w:rPr>
          <w:color w:val="000000"/>
        </w:rPr>
        <w:t>    </w:t>
      </w:r>
      <w:r>
        <w:rPr>
          <w:rFonts w:ascii="Arial;sans-serif" w:hAnsi="Arial;sans-serif"/>
          <w:b/>
          <w:color w:val="000000"/>
          <w:sz w:val="17"/>
        </w:rPr>
        <w:t>Securities registered pursuant to Section 12(g) of the Act: None</w:t>
      </w:r>
    </w:p>
    <w:p>
      <w:pPr>
        <w:pStyle w:val="TextBody"/>
        <w:bidi w:val="0"/>
        <w:spacing w:lineRule="auto" w:line="288" w:before="20" w:after="283"/>
        <w:ind w:left="0" w:right="0" w:firstLine="720"/>
        <w:jc w:val="left"/>
        <w:rPr/>
      </w:pPr>
      <w:r>
        <w:rPr>
          <w:rFonts w:ascii="Arial;sans-serif" w:hAnsi="Arial;sans-serif"/>
          <w:b w:val="false"/>
          <w:color w:val="000000"/>
          <w:sz w:val="17"/>
        </w:rPr>
        <w:t>Indicate by check mark if the registrant is a well-known seasoned issuer, as defined in Rule 405 of the Securities Act.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20" w:after="283"/>
        <w:ind w:left="0" w:right="0" w:firstLine="720"/>
        <w:jc w:val="left"/>
        <w:rPr/>
      </w:pPr>
      <w:r>
        <w:rPr>
          <w:rFonts w:ascii="Arial;sans-serif" w:hAnsi="Arial;sans-serif"/>
          <w:b w:val="false"/>
          <w:color w:val="000000"/>
          <w:sz w:val="17"/>
        </w:rPr>
        <w:t>Indicate by check mark if the registrant is not required to file reports pursuant to Section 13 or 15(d) of the Act. Yes </w:t>
      </w:r>
      <w:r>
        <w:rPr>
          <w:rFonts w:ascii="Wingdings;sans-serif" w:hAnsi="Wingdings;sans-serif"/>
          <w:b w:val="false"/>
          <w:color w:val="000000"/>
          <w:sz w:val="17"/>
        </w:rPr>
        <w:t>o</w:t>
      </w:r>
      <w:r>
        <w:rPr>
          <w:color w:val="000000"/>
        </w:rPr>
        <w:t>      </w:t>
      </w:r>
      <w:r>
        <w:rPr>
          <w:rFonts w:ascii="Arial;sans-serif" w:hAnsi="Arial;sans-serif"/>
          <w:b w:val="false"/>
          <w:color w:val="000000"/>
          <w:sz w:val="17"/>
        </w:rPr>
        <w:t>No </w:t>
      </w:r>
      <w:r>
        <w:rPr>
          <w:color w:val="000000"/>
        </w:rPr>
        <w:t>☑</w:t>
      </w:r>
    </w:p>
    <w:p>
      <w:pPr>
        <w:pStyle w:val="TextBody"/>
        <w:bidi w:val="0"/>
        <w:spacing w:lineRule="auto" w:line="288" w:before="20" w:after="283"/>
        <w:ind w:left="0" w:right="0" w:firstLine="720"/>
        <w:jc w:val="left"/>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20" w:after="283"/>
        <w:ind w:left="0" w:right="0" w:firstLine="720"/>
        <w:jc w:val="left"/>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20" w:after="283"/>
        <w:ind w:left="0" w:right="0" w:firstLine="72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6548" w:type="dxa"/>
        <w:jc w:val="left"/>
        <w:tblInd w:w="0" w:type="dxa"/>
        <w:tblLayout w:type="fixed"/>
        <w:tblCellMar>
          <w:top w:w="28" w:type="dxa"/>
          <w:left w:w="28" w:type="dxa"/>
          <w:bottom w:w="28" w:type="dxa"/>
          <w:right w:w="28" w:type="dxa"/>
        </w:tblCellMar>
      </w:tblPr>
      <w:tblGrid>
        <w:gridCol w:w="629"/>
        <w:gridCol w:w="554"/>
        <w:gridCol w:w="556"/>
        <w:gridCol w:w="145"/>
        <w:gridCol w:w="145"/>
        <w:gridCol w:w="146"/>
        <w:gridCol w:w="684"/>
        <w:gridCol w:w="684"/>
        <w:gridCol w:w="687"/>
        <w:gridCol w:w="109"/>
        <w:gridCol w:w="109"/>
        <w:gridCol w:w="109"/>
        <w:gridCol w:w="539"/>
        <w:gridCol w:w="539"/>
        <w:gridCol w:w="541"/>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w:t>
      </w:r>
    </w:p>
    <w:p>
      <w:pPr>
        <w:pStyle w:val="TextBody"/>
        <w:bidi w:val="0"/>
        <w:spacing w:lineRule="auto" w:line="288" w:before="20" w:after="283"/>
        <w:ind w:left="0" w:right="0" w:firstLine="720"/>
        <w:jc w:val="left"/>
        <w:rPr/>
      </w:pPr>
      <w:r>
        <w:rPr>
          <w:rFonts w:ascii="Arial;sans-serif" w:hAnsi="Arial;sans-serif"/>
          <w:b w:val="false"/>
          <w:color w:val="000000"/>
          <w:sz w:val="17"/>
        </w:rPr>
        <w:t xml:space="preserve">If securities are registered pursuant to Section 12(b) of the Exchange Act, indicate by check mark whether the financial statements of the registrant included in this filing reflect the correction of an error to previously issued financial statements. </w:t>
      </w:r>
      <w:r>
        <w:rPr>
          <w:rFonts w:ascii="Wingdings;sans-serif" w:hAnsi="Wingdings;sans-serif"/>
          <w:b w:val="false"/>
          <w:color w:val="000000"/>
          <w:sz w:val="17"/>
        </w:rPr>
        <w:t>o</w:t>
      </w:r>
      <w:r>
        <w:rPr>
          <w:color w:val="000000"/>
        </w:rPr>
        <w:t> </w:t>
      </w:r>
    </w:p>
    <w:p>
      <w:pPr>
        <w:pStyle w:val="TextBody"/>
        <w:bidi w:val="0"/>
        <w:spacing w:lineRule="auto" w:line="288" w:before="20" w:after="283"/>
        <w:ind w:left="0" w:right="0" w:firstLine="720"/>
        <w:jc w:val="left"/>
        <w:rPr/>
      </w:pPr>
      <w:r>
        <w:rPr>
          <w:rFonts w:ascii="Arial;sans-serif" w:hAnsi="Arial;sans-serif"/>
          <w:b w:val="false"/>
          <w:color w:val="00000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7"/>
        </w:rPr>
        <w:t>o</w:t>
      </w:r>
      <w:r>
        <w:rPr>
          <w:color w:val="000000"/>
        </w:rPr>
        <w:t> </w:t>
      </w:r>
    </w:p>
    <w:p>
      <w:pPr>
        <w:pStyle w:val="TextBody"/>
        <w:bidi w:val="0"/>
        <w:spacing w:lineRule="auto" w:line="288" w:before="20" w:after="283"/>
        <w:ind w:left="0" w:right="0" w:firstLine="720"/>
        <w:jc w:val="left"/>
        <w:rPr/>
      </w:pPr>
      <w:r>
        <w:rPr>
          <w:rFonts w:ascii="Arial;sans-serif" w:hAnsi="Arial;sans-serif"/>
          <w:b w:val="false"/>
          <w:color w:val="000000"/>
          <w:sz w:val="17"/>
        </w:rPr>
        <w:t>Indicate by check mark whether the registrant is a shell company (as defined in Exchange Act Rule 12b-2).  Yes </w:t>
      </w:r>
      <w:r>
        <w:rPr>
          <w:color w:val="000000"/>
        </w:rPr>
        <w:t>☐     </w:t>
      </w:r>
      <w:r>
        <w:rPr>
          <w:rFonts w:ascii="Arial;sans-serif" w:hAnsi="Arial;sans-serif"/>
          <w:b w:val="false"/>
          <w:color w:val="000000"/>
          <w:sz w:val="17"/>
        </w:rPr>
        <w:t>No </w:t>
      </w:r>
      <w:r>
        <w:rPr>
          <w:color w:val="000000"/>
        </w:rPr>
        <w:t xml:space="preserve">☑ </w:t>
      </w:r>
    </w:p>
    <w:p>
      <w:pPr>
        <w:pStyle w:val="TextBody"/>
        <w:bidi w:val="0"/>
        <w:spacing w:lineRule="auto" w:line="288" w:before="20" w:after="283"/>
        <w:ind w:left="0" w:right="0" w:firstLine="720"/>
        <w:jc w:val="left"/>
        <w:rPr/>
      </w:pPr>
      <w:r>
        <w:rPr>
          <w:rFonts w:ascii="Arial;sans-serif" w:hAnsi="Arial;sans-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color w:val="000000"/>
        </w:rPr>
        <w:t>☑</w:t>
      </w:r>
    </w:p>
    <w:p>
      <w:pPr>
        <w:pStyle w:val="TextBody"/>
        <w:bidi w:val="0"/>
        <w:spacing w:lineRule="auto" w:line="288" w:before="20" w:after="283"/>
        <w:ind w:left="0" w:right="0" w:firstLine="720"/>
        <w:jc w:val="left"/>
        <w:rPr>
          <w:rFonts w:ascii="Arial;sans-serif" w:hAnsi="Arial;sans-serif"/>
          <w:b w:val="false"/>
          <w:color w:val="000000"/>
          <w:sz w:val="17"/>
        </w:rPr>
      </w:pPr>
      <w:r>
        <w:rPr>
          <w:rFonts w:ascii="Arial;sans-serif" w:hAnsi="Arial;sans-serif"/>
          <w:b w:val="false"/>
          <w:color w:val="000000"/>
          <w:sz w:val="17"/>
        </w:rPr>
        <w:t>The aggregate market value of the ordinary shares held by non-affiliates of the registrant was approximately $1.22 billion on December 31, 2025 (the last business day of the registrant's most recently completed second fiscal quarter) based on the last reported sale price of the registrant's ordinary shares on the Nasdaq Global Select Market.</w:t>
      </w:r>
    </w:p>
    <w:p>
      <w:pPr>
        <w:pStyle w:val="TextBody"/>
        <w:bidi w:val="0"/>
        <w:spacing w:lineRule="auto" w:line="288" w:before="20" w:after="283"/>
        <w:ind w:left="0" w:right="0" w:firstLine="720"/>
        <w:jc w:val="left"/>
        <w:rPr/>
      </w:pPr>
      <w:r>
        <w:rPr>
          <w:rFonts w:ascii="Arial;sans-serif" w:hAnsi="Arial;sans-serif"/>
          <w:b w:val="false"/>
          <w:color w:val="000000"/>
          <w:sz w:val="17"/>
        </w:rPr>
        <w:t>As of August 3, 2026, there were</w:t>
      </w:r>
      <w:r>
        <w:rPr>
          <w:color w:val="000000"/>
        </w:rPr>
        <w:t xml:space="preserve"> </w:t>
      </w:r>
      <w:r>
        <w:rPr>
          <w:rFonts w:ascii="Arial;sans-serif" w:hAnsi="Arial;sans-serif"/>
          <w:b w:val="false"/>
          <w:color w:val="000000"/>
          <w:sz w:val="17"/>
        </w:rPr>
        <w:t>24,349,476</w:t>
      </w:r>
      <w:r>
        <w:rPr>
          <w:color w:val="000000"/>
        </w:rPr>
        <w:t xml:space="preserve"> </w:t>
      </w:r>
      <w:r>
        <w:rPr>
          <w:rFonts w:ascii="Arial;sans-serif" w:hAnsi="Arial;sans-serif"/>
          <w:b w:val="false"/>
          <w:color w:val="000000"/>
          <w:sz w:val="17"/>
        </w:rPr>
        <w:t xml:space="preserve">Cimpress plc ordinary shares outstanding. </w:t>
      </w:r>
    </w:p>
    <w:p>
      <w:pPr>
        <w:pStyle w:val="TextBody"/>
        <w:bidi w:val="0"/>
        <w:spacing w:before="20" w:after="283"/>
        <w:ind w:left="0" w:right="0" w:firstLine="720"/>
        <w:jc w:val="left"/>
        <w:rPr/>
      </w:pPr>
      <w:r>
        <w:rPr/>
      </w:r>
    </w:p>
    <w:p>
      <w:pPr>
        <w:pStyle w:val="TextBody"/>
        <w:bidi w:val="0"/>
        <w:spacing w:lineRule="auto" w:line="288" w:before="20" w:after="283"/>
        <w:jc w:val="center"/>
        <w:rPr>
          <w:rFonts w:ascii="Arial;sans-serif" w:hAnsi="Arial;sans-serif"/>
          <w:b/>
          <w:color w:val="000000"/>
          <w:sz w:val="17"/>
        </w:rPr>
      </w:pPr>
      <w:r>
        <w:rPr>
          <w:rFonts w:ascii="Arial;sans-serif" w:hAnsi="Arial;sans-serif"/>
          <w:b/>
          <w:color w:val="000000"/>
          <w:sz w:val="17"/>
        </w:rPr>
        <w:t>DOCUMENTS INCORPORATED BY REFERENCE</w:t>
      </w:r>
    </w:p>
    <w:p>
      <w:pPr>
        <w:pStyle w:val="TextBody"/>
        <w:bidi w:val="0"/>
        <w:spacing w:lineRule="auto" w:line="288" w:before="20" w:after="60"/>
        <w:jc w:val="left"/>
        <w:rPr>
          <w:color w:val="000000"/>
        </w:rPr>
      </w:pPr>
      <w:r>
        <w:rPr>
          <w:color w:val="000000"/>
        </w:rPr>
        <w:t>    </w:t>
      </w:r>
      <w:r>
        <w:rPr>
          <w:rFonts w:ascii="Arial;sans-serif" w:hAnsi="Arial;sans-serif"/>
          <w:b w:val="false"/>
          <w:color w:val="000000"/>
          <w:sz w:val="17"/>
        </w:rPr>
        <w:t>The registrant intends to file a definitive proxy statement pursuant to Regulation 14A within 120 days of the end of the fiscal year ended June 30, 2026. Portions of such proxy statement are incorporated by reference into Items 10, 11, 12, 13, and 14 of Part III of this Annual Report on Form 10-K.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ANNUAL REPORT ON FORM 10-K</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 Ended June 30,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298"/>
        <w:gridCol w:w="261"/>
        <w:gridCol w:w="262"/>
        <w:gridCol w:w="2954"/>
        <w:gridCol w:w="2908"/>
        <w:gridCol w:w="2917"/>
        <w:gridCol w:w="176"/>
        <w:gridCol w:w="176"/>
        <w:gridCol w:w="253"/>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w:t>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42">
              <w:r>
                <w:rPr>
                  <w:rStyle w:val="InternetLink"/>
                  <w:rFonts w:ascii="Arial;sans-serif" w:hAnsi="Arial;sans-serif"/>
                  <w:b w:val="false"/>
                  <w:strike w:val="false"/>
                  <w:dstrike w:val="false"/>
                  <w:color w:val="000000"/>
                  <w:sz w:val="20"/>
                  <w:u w:val="none"/>
                  <w:effect w:val="none"/>
                </w:rPr>
                <w:t>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Factors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45">
              <w:r>
                <w:rPr>
                  <w:rStyle w:val="InternetLink"/>
                  <w:rFonts w:ascii="Arial;sans-serif" w:hAnsi="Arial;sans-serif"/>
                  <w:b w:val="false"/>
                  <w:strike w:val="false"/>
                  <w:dstrike w:val="false"/>
                  <w:color w:val="000000"/>
                  <w:sz w:val="20"/>
                  <w:u w:val="none"/>
                  <w:effect w:val="none"/>
                </w:rPr>
                <w:t>13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Unresolved Staff Comments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48">
              <w:r>
                <w:rPr>
                  <w:rStyle w:val="InternetLink"/>
                  <w:rFonts w:ascii="Arial;sans-serif" w:hAnsi="Arial;sans-serif"/>
                  <w:b w:val="false"/>
                  <w:strike w:val="false"/>
                  <w:dstrike w:val="false"/>
                  <w:color w:val="000000"/>
                  <w:sz w:val="20"/>
                  <w:u w:val="none"/>
                  <w:effect w:val="non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1C.</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Cybersecurity</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51">
              <w:r>
                <w:rPr>
                  <w:rStyle w:val="InternetLink"/>
                  <w:rFonts w:ascii="Arial;sans-serif" w:hAnsi="Arial;sans-serif"/>
                  <w:b w:val="false"/>
                  <w:strike w:val="false"/>
                  <w:dstrike w:val="false"/>
                  <w:color w:val="000000"/>
                  <w:sz w:val="20"/>
                  <w:u w:val="none"/>
                  <w:effect w:val="non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2. </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54">
              <w:r>
                <w:rPr>
                  <w:rStyle w:val="InternetLink"/>
                  <w:rFonts w:ascii="Arial;sans-serif" w:hAnsi="Arial;sans-serif"/>
                  <w:b w:val="false"/>
                  <w:strike w:val="false"/>
                  <w:dstrike w:val="false"/>
                  <w:color w:val="000000"/>
                  <w:sz w:val="20"/>
                  <w:u w:val="none"/>
                  <w:effect w:val="none"/>
                </w:rPr>
                <w:t>25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Proceedings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57">
              <w:r>
                <w:rPr>
                  <w:rStyle w:val="InternetLink"/>
                  <w:rFonts w:ascii="Arial;sans-serif" w:hAnsi="Arial;sans-serif"/>
                  <w:b w:val="false"/>
                  <w:strike w:val="false"/>
                  <w:dstrike w:val="false"/>
                  <w:color w:val="000000"/>
                  <w:sz w:val="20"/>
                  <w:u w:val="none"/>
                  <w:effect w:val="non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4. </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Mine Safety Disclosure</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60">
              <w:r>
                <w:rPr>
                  <w:rStyle w:val="InternetLink"/>
                  <w:rFonts w:ascii="Arial;sans-serif" w:hAnsi="Arial;sans-serif"/>
                  <w:b w:val="false"/>
                  <w:strike w:val="false"/>
                  <w:dstrike w:val="false"/>
                  <w:color w:val="000000"/>
                  <w:sz w:val="20"/>
                  <w:u w:val="none"/>
                  <w:effect w:val="none"/>
                </w:rPr>
                <w:t>26</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II</w:t>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 for Registrant's Common Equity, Related Stockholder Matters and Issuer Purchases of Equity Securities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66">
              <w:r>
                <w:rPr>
                  <w:rStyle w:val="InternetLink"/>
                  <w:rFonts w:ascii="Arial;sans-serif" w:hAnsi="Arial;sans-serif"/>
                  <w:b w:val="false"/>
                  <w:strike w:val="false"/>
                  <w:dstrike w:val="false"/>
                  <w:color w:val="000000"/>
                  <w:sz w:val="20"/>
                  <w:u w:val="none"/>
                  <w:effect w:val="none"/>
                </w:rPr>
                <w:t>26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[Reserved]</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69">
              <w:r>
                <w:rPr>
                  <w:rStyle w:val="InternetLink"/>
                  <w:rFonts w:ascii="Arial;sans-serif" w:hAnsi="Arial;sans-serif"/>
                  <w:b w:val="false"/>
                  <w:strike w:val="false"/>
                  <w:dstrike w:val="false"/>
                  <w:color w:val="000000"/>
                  <w:sz w:val="20"/>
                  <w:u w:val="none"/>
                  <w:effect w:val="non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76">
              <w:r>
                <w:rPr>
                  <w:rStyle w:val="InternetLink"/>
                  <w:rFonts w:ascii="Arial;sans-serif" w:hAnsi="Arial;sans-serif"/>
                  <w:b w:val="false"/>
                  <w:strike w:val="false"/>
                  <w:dstrike w:val="false"/>
                  <w:color w:val="000000"/>
                  <w:sz w:val="20"/>
                  <w:u w:val="none"/>
                  <w:effect w:val="none"/>
                </w:rPr>
                <w:t>28</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79">
              <w:r>
                <w:rPr>
                  <w:rStyle w:val="InternetLink"/>
                  <w:rFonts w:ascii="Arial;sans-serif" w:hAnsi="Arial;sans-serif"/>
                  <w:b w:val="false"/>
                  <w:strike w:val="false"/>
                  <w:dstrike w:val="false"/>
                  <w:color w:val="000000"/>
                  <w:sz w:val="20"/>
                  <w:u w:val="none"/>
                  <w:effect w:val="none"/>
                </w:rPr>
                <w:t>43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Statements and Supplementary Data</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72">
              <w:r>
                <w:rPr>
                  <w:rStyle w:val="InternetLink"/>
                  <w:rFonts w:ascii="Arial;sans-serif" w:hAnsi="Arial;sans-serif"/>
                  <w:b w:val="false"/>
                  <w:strike w:val="false"/>
                  <w:dstrike w:val="false"/>
                  <w:color w:val="000000"/>
                  <w:sz w:val="20"/>
                  <w:u w:val="none"/>
                  <w:effect w:val="none"/>
                </w:rPr>
                <w:t>45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8779"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Arial;sans-serif" w:hAnsi="Arial;sans-serif"/>
                <w:b w:val="false"/>
                <w:color w:val="000000"/>
                <w:sz w:val="20"/>
              </w:rPr>
            </w:pPr>
            <w:r>
              <w:rPr>
                <w:rFonts w:ascii="Arial;sans-serif" w:hAnsi="Arial;sans-serif"/>
                <w:b w:val="false"/>
                <w:color w:val="000000"/>
                <w:sz w:val="20"/>
              </w:rPr>
              <w:t>Changes in and Disagreements with Accountants on Accounting and Financial Disclosure</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81">
              <w:r>
                <w:rPr>
                  <w:rStyle w:val="InternetLink"/>
                  <w:rFonts w:ascii="Arial;sans-serif" w:hAnsi="Arial;sans-serif"/>
                  <w:b w:val="false"/>
                  <w:strike w:val="false"/>
                  <w:dstrike w:val="false"/>
                  <w:color w:val="000000"/>
                  <w:sz w:val="20"/>
                  <w:u w:val="none"/>
                  <w:effect w:val="none"/>
                </w:rPr>
                <w:t>96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84">
              <w:r>
                <w:rPr>
                  <w:rStyle w:val="InternetLink"/>
                  <w:rFonts w:ascii="Arial;sans-serif" w:hAnsi="Arial;sans-serif"/>
                  <w:b w:val="false"/>
                  <w:strike w:val="false"/>
                  <w:dstrike w:val="false"/>
                  <w:color w:val="000000"/>
                  <w:sz w:val="20"/>
                  <w:u w:val="none"/>
                  <w:effect w:val="none"/>
                </w:rPr>
                <w:t>96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Information</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87">
              <w:r>
                <w:rPr>
                  <w:rStyle w:val="InternetLink"/>
                  <w:rFonts w:ascii="Arial;sans-serif" w:hAnsi="Arial;sans-serif"/>
                  <w:b w:val="false"/>
                  <w:strike w:val="false"/>
                  <w:dstrike w:val="false"/>
                  <w:color w:val="000000"/>
                  <w:sz w:val="20"/>
                  <w:u w:val="none"/>
                  <w:effect w:val="none"/>
                </w:rPr>
                <w:t>97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9C.</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Disclosure Regarding Foreign Jurisdictions that Prevent Inspections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90">
              <w:r>
                <w:rPr>
                  <w:rStyle w:val="InternetLink"/>
                  <w:rFonts w:ascii="Arial;sans-serif" w:hAnsi="Arial;sans-serif"/>
                  <w:b w:val="false"/>
                  <w:strike w:val="false"/>
                  <w:dstrike w:val="false"/>
                  <w:color w:val="000000"/>
                  <w:sz w:val="20"/>
                  <w:u w:val="none"/>
                  <w:effect w:val="none"/>
                </w:rPr>
                <w:t>97</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III</w:t>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 Executive Officers and Corporate Governance</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96">
              <w:r>
                <w:rPr>
                  <w:rStyle w:val="InternetLink"/>
                  <w:rFonts w:ascii="Arial;sans-serif" w:hAnsi="Arial;sans-serif"/>
                  <w:b w:val="false"/>
                  <w:strike w:val="false"/>
                  <w:dstrike w:val="false"/>
                  <w:color w:val="000000"/>
                  <w:sz w:val="20"/>
                  <w:u w:val="none"/>
                  <w:effect w:val="none"/>
                </w:rPr>
                <w:t>97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Compensation</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99">
              <w:r>
                <w:rPr>
                  <w:rStyle w:val="InternetLink"/>
                  <w:rFonts w:ascii="Arial;sans-serif" w:hAnsi="Arial;sans-serif"/>
                  <w:b w:val="false"/>
                  <w:strike w:val="false"/>
                  <w:dstrike w:val="false"/>
                  <w:color w:val="000000"/>
                  <w:sz w:val="20"/>
                  <w:u w:val="none"/>
                  <w:effect w:val="none"/>
                </w:rPr>
                <w:t>97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Security Ownership of Certain Beneficial Owners and Management and Related Stockholder Matters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02">
              <w:r>
                <w:rPr>
                  <w:rStyle w:val="InternetLink"/>
                  <w:rFonts w:ascii="Arial;sans-serif" w:hAnsi="Arial;sans-serif"/>
                  <w:b w:val="false"/>
                  <w:strike w:val="false"/>
                  <w:dstrike w:val="false"/>
                  <w:color w:val="000000"/>
                  <w:sz w:val="20"/>
                  <w:u w:val="none"/>
                  <w:effect w:val="none"/>
                </w:rPr>
                <w:t>97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Relationships and Related Transactions, and Director Independence</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05">
              <w:r>
                <w:rPr>
                  <w:rStyle w:val="InternetLink"/>
                  <w:rFonts w:ascii="Arial;sans-serif" w:hAnsi="Arial;sans-serif"/>
                  <w:b w:val="false"/>
                  <w:strike w:val="false"/>
                  <w:dstrike w:val="false"/>
                  <w:color w:val="000000"/>
                  <w:sz w:val="20"/>
                  <w:u w:val="none"/>
                  <w:effect w:val="none"/>
                </w:rPr>
                <w:t>97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Accountant Fees and Services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08">
              <w:r>
                <w:rPr>
                  <w:rStyle w:val="InternetLink"/>
                  <w:rFonts w:ascii="Arial;sans-serif" w:hAnsi="Arial;sans-serif"/>
                  <w:b w:val="false"/>
                  <w:strike w:val="false"/>
                  <w:dstrike w:val="false"/>
                  <w:color w:val="000000"/>
                  <w:sz w:val="20"/>
                  <w:u w:val="none"/>
                  <w:effect w:val="none"/>
                </w:rPr>
                <w:t>98</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IV</w:t>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Exhibits and Financial Statement Schedules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14">
              <w:r>
                <w:rPr>
                  <w:rStyle w:val="InternetLink"/>
                  <w:rFonts w:ascii="Arial;sans-serif" w:hAnsi="Arial;sans-serif"/>
                  <w:b w:val="false"/>
                  <w:strike w:val="false"/>
                  <w:dstrike w:val="false"/>
                  <w:color w:val="000000"/>
                  <w:sz w:val="20"/>
                  <w:u w:val="none"/>
                  <w:effect w:val="none"/>
                </w:rPr>
                <w:t>99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8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Form 10-K Summary</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17">
              <w:r>
                <w:rPr>
                  <w:rStyle w:val="InternetLink"/>
                  <w:rFonts w:ascii="Arial;sans-serif" w:hAnsi="Arial;sans-serif"/>
                  <w:b w:val="false"/>
                  <w:strike w:val="false"/>
                  <w:dstrike w:val="false"/>
                  <w:color w:val="000000"/>
                  <w:sz w:val="20"/>
                  <w:u w:val="none"/>
                  <w:effect w:val="none"/>
                </w:rPr>
                <w:t>100</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Signatures</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00">
              <w:r>
                <w:rPr>
                  <w:rStyle w:val="InternetLink"/>
                  <w:rFonts w:ascii="Arial;sans-serif" w:hAnsi="Arial;sans-serif"/>
                  <w:b w:val="false"/>
                  <w:strike w:val="false"/>
                  <w:dstrike w:val="false"/>
                  <w:color w:val="000000"/>
                  <w:sz w:val="19"/>
                  <w:u w:val="none"/>
                  <w:effect w:val="non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1. </w:t>
      </w:r>
      <w:r>
        <w:rPr>
          <w:rFonts w:ascii="Arial;sans-serif" w:hAnsi="Arial;sans-serif"/>
          <w:b/>
          <w:i/>
          <w:color w:val="000000"/>
          <w:sz w:val="20"/>
        </w:rPr>
        <w:t>Business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Overview &amp; Strategy</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Cimpress helps millions of businesses build brands, stand out, and grow via customized physical marketing products and branded merchandise. Founded in 1995, Cimpress is the global leader in web-to-print mass customization, delivering high-quality, affordable custom products quickly and conveniently—even in low quantities. Cimpress brands include VistaPrint, WIRmachenDRUCK, Pixartprinting, Pens.com, BuildASign, druck.at, Drukwerkdeal, easyflyer, Exaprint, Packstyle, Printi, Tradeprint and BoxUp.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 We discuss mass customization in further detail below.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grown substantially over our history, from $0 in 1995 to $0.2 billion of revenue in fiscal year 2006, the year when we became a publicly traded company, then to $3.7 billion of revenue in fiscal year 2026. As we have grown we have achieved important benefits of scale. Our strategy is to invest in and build customer-focused, entrepreneurial print mass customization businesses for the long term, which we manage in a decentralized, autonomous manner. We drive competitive advantage across Cimpress through a select few shared strategic capabilities that have the greatest potential to create Cimpress-wide value. </w:t>
      </w:r>
    </w:p>
    <w:p>
      <w:pPr>
        <w:pStyle w:val="TextBody"/>
        <w:bidi w:val="0"/>
        <w:spacing w:lineRule="auto" w:line="26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this decentralized structure is beneficial in many ways as it enables our businesses to be more customer focused, to make better decisions faster, to manage a holistic cross-functional value chain required to serve customers well, to be more agile, to be held more accountable for driving investment returns, and to better understand where we are successful and where we are not. This structure delegates responsibility, authority and resources to the CEOs and managing directors of our various businesses. We believe this approach has provided great value, enabling our businesses to respond quickly to changes in customer needs and adapt to changing market conditions, while also providing our leaders an environment to share best practices and insights across the group.</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 and (4) peer-to-peer knowledge sharing among our businesses. We encourage each of our businesses to leverage these capabilities, but each business is free to choose the extent to which they use these services. This optionality creates healthy pressure on the central teams who provide such services to deliver compelling value to our businesses.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combination of decentralization for most aspects of how we run Cimpress with a select few shared strategic capabilities in which we invest centrally is intended to engender customer-centric, entrepreneurial and owner mindsets across a wide set of geographies, products and customer types while also enabling significant synergies and knowledge-sharing across Cimpress.</w:t>
      </w:r>
    </w:p>
    <w:p>
      <w:pPr>
        <w:pStyle w:val="TextBody"/>
        <w:bidi w:val="0"/>
        <w:spacing w:lineRule="auto" w:line="288" w:before="200" w:after="283"/>
        <w:ind w:left="0" w:right="0" w:firstLine="720"/>
        <w:jc w:val="left"/>
        <w:rPr/>
      </w:pPr>
      <w:r>
        <w:rPr>
          <w:rFonts w:ascii="Arial;sans-serif" w:hAnsi="Arial;sans-serif"/>
          <w:b w:val="false"/>
          <w:color w:val="000000"/>
          <w:sz w:val="20"/>
        </w:rPr>
        <w:t>We limit all other central activities to only those that must be performed centrally. Out of more than</w:t>
      </w:r>
      <w:r>
        <w:rPr>
          <w:color w:val="000000"/>
        </w:rPr>
        <w:t xml:space="preserve"> </w:t>
      </w:r>
      <w:r>
        <w:rPr>
          <w:rFonts w:ascii="Arial;sans-serif" w:hAnsi="Arial;sans-serif"/>
          <w:b w:val="false"/>
          <w:color w:val="000000"/>
          <w:sz w:val="20"/>
        </w:rPr>
        <w:t>16,000 employees, we have approximately 100 who work in central activities that fall into this category, which includes tax, treasury, internal audit, legal, sustainability, corporate communications, consolidated reporting and compliance, investor relations, capital allocation, and the functions of our CEO and CFO. We have developed guardrails and accountability mechanisms in key areas of governance including cultural aspects such as a focus on customers and being socially responsible, as well as operational aspects such as the processes by which we set strategy and financial budgets and review performance, and the policies by which we ensure compliance with applicable laws.</w:t>
      </w:r>
    </w:p>
    <w:p>
      <w:pPr>
        <w:pStyle w:val="TextBody"/>
        <w:bidi w:val="0"/>
        <w:spacing w:lineRule="auto" w:line="268" w:before="200" w:after="283"/>
        <w:jc w:val="left"/>
        <w:rPr>
          <w:rFonts w:ascii="Arial;sans-serif" w:hAnsi="Arial;sans-serif"/>
          <w:b/>
          <w:color w:val="000000"/>
          <w:sz w:val="20"/>
        </w:rPr>
      </w:pPr>
      <w:r>
        <w:rPr>
          <w:rFonts w:ascii="Arial;sans-serif" w:hAnsi="Arial;sans-serif"/>
          <w:b/>
          <w:color w:val="000000"/>
          <w:sz w:val="20"/>
        </w:rPr>
        <w:t>Our Uppermost Financial Objective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uppermost financial objective is to maximize our intrinsic value per share (“IVPS”). We define IVPS 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the unlevered free cash flow per diluted share that, in our best judgment, will occur between now and the long-term future, appropriately discounted to reflect our cost of capital, minus (b) net debt per diluted share. We define unlevered free cash flow as adjusted free cash flow plus cash interest expense related to borrowing.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endeavor to make all financial decisions in service of this priority. As such, we often make decisions that could be considered non-optimal were they to be evaluated based on other criteria such as (but not limited to) near- and mid-term revenue, operating income, net income, EPS, adjusted EBITDA, and cash flow.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IVPS is inherently long term in nature. Thus an explicit outcome of this is that we accept fluctuations in our financial metrics as we make investments that we believe will deliver attractive long-term returns on investment.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Mass Customization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Mass customization is a business model that allows companies to deliver major improvements to customer value across a wide variety of customized product categories. Companies that excel at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tbl>
      <w:tblPr>
        <w:tblW w:w="10205" w:type="dxa"/>
        <w:jc w:val="center"/>
        <w:tblInd w:w="0" w:type="dxa"/>
        <w:tblLayout w:type="fixed"/>
        <w:tblCellMar>
          <w:top w:w="28" w:type="dxa"/>
          <w:left w:w="28" w:type="dxa"/>
          <w:bottom w:w="28" w:type="dxa"/>
          <w:right w:w="28" w:type="dxa"/>
        </w:tblCellMar>
      </w:tblPr>
      <w:tblGrid>
        <w:gridCol w:w="1825"/>
        <w:gridCol w:w="1605"/>
        <w:gridCol w:w="1606"/>
        <w:gridCol w:w="109"/>
        <w:gridCol w:w="109"/>
        <w:gridCol w:w="109"/>
        <w:gridCol w:w="1417"/>
        <w:gridCol w:w="1417"/>
        <w:gridCol w:w="2008"/>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50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33725" cy="2476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133725" cy="2476500"/>
                          </a:xfrm>
                          <a:prstGeom prst="rect">
                            <a:avLst/>
                          </a:prstGeom>
                        </pic:spPr>
                      </pic:pic>
                    </a:graphicData>
                  </a:graphic>
                </wp:inline>
              </w:drawing>
            </w:r>
            <w:bookmarkStart w:id="0" w:name="i-1"/>
            <w:bookmarkEnd w:id="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The chart illustrates this concept. The horizontal axis represents the volume of production of a given product; the vertical axis represents the cost of producing one unit of that product. Traditionally, the only way to manufacture at a low unit cost was to produce a large volume of that product: mass-produced products fall in the lower right-hand corner of the chart. Custom-made products (i.e., those produced in small volumes for a very specific purpose) historically incurred very high unit costs: they fall in the upper left-hand side of the chart. </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Mass customization breaks this trade off, enabling low-volume, low-cost production of individually unique products. Very importantly, relative to traditional alternatives mass customization creates value in many ways, not just lower cost. Other advantages can include faster production, greater personal relevance, avoidance of obsolete stock and material finished goods inventory, better design, flexible shipping options, more product choice, and higher quality.</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Mass customization in print-related markets delivers a breakthrough in customer value, particularly in markets in which the worth of a physical product is inherently tied to a specific, unique use or application. For instance, there is limited value to a sign that is identical to those used by other companies: the business owner needs to describe what is unique about their business. Likewise, customized packaging is a way for a business to add their brand identity to what is oftentimes the first physical touchpoint with a customer for online purchases. Before mass customization, producing a high-quality custom product required high per-order setup costs, and therefore it was not economical to produce customized products in low quantities.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There are three ingredients to mass customization applied to print applications: (1) web-to-print or e-commerce stores that offer a wide variety of customizable products, replacing more expensive and harder-to-scale physical stores with limited geographic reach; (2) software-driven order aggregation, which enables significantly reduced costs to produce low-volume orders; and (3) democratized design that combines intuitive design software, AI-assisted design capabilities and human designers typically located in low-cost regions to deliver high-quality, lower-cost, and highly scalable alternatives to traditional graphic design services.</w:t>
      </w:r>
    </w:p>
    <w:p>
      <w:pPr>
        <w:pStyle w:val="TextBody"/>
        <w:bidi w:val="0"/>
        <w:spacing w:before="0" w:after="0"/>
        <w:jc w:val="left"/>
        <w:rPr/>
      </w:pPr>
      <w:r>
        <w:rPr/>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that the business cards sold by our VistaPrint business provide a concrete example of the potential of our mass customization business model to deliver significant customer value and build strong profit franchises in large markets that were previously low growth and commoditized. Millions of very small customers (for example, home-based businesses) rely on VistaPrint to design and procure aesthetically pleasing, high-quality, quickly delivered, and low-priced business cards. The VistaPrint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business cards at a fraction of the cost of typical traditional printers with consistent quality and delivery reliability. Customers have extensive, easily configurable, customization options such as rounded corners, different shapes, specialty papers, “spot varnish”, reflective foil, folded cards, and different paper thicknesses. Achieving this type of product variety while remaining highly cost efficient took us almost two decades and requires massive volume, significant engineering investments, and significant capital. This is a mature but highly profitable product for us and no longer requires significant capital to maintain our leadership position. Our businesses have a history of launching new products that expand our revenue and profit opportunity as they scale, as we did in our more mature product categories. The capabilities and customer trust we initially built through more mature products like business cards have proven to be extensible to newer product categories and we have been investing for more than a decade to serve customer needs in these newer growth categories. While these newer products currently have lower gross margins than many of our mature products, they also typically attract customers with higher lifetime value. Each product is well along the spectrum of mass customization relative to traditional suppliers, with further production optimization opportunities ahead.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Market and Industry Background</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Print's Mass Customization Opportunity</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Mass customization of print and promotional products is not a market itself, but rather a business model that can be applied across global geographic markets, to customers from businesses of all sizes, graphic designers, resellers, printers, teams, associations, groups, consumers, and families, to which we offer products such as the following:</w:t>
      </w:r>
    </w:p>
    <w:p>
      <w:pPr>
        <w:pStyle w:val="TextBody"/>
        <w:bidi w:val="0"/>
        <w:spacing w:before="200" w:after="283"/>
        <w:jc w:val="center"/>
        <w:rPr/>
      </w:pPr>
      <w:r>
        <w:rPr/>
        <w:drawing>
          <wp:inline distT="0" distB="0" distL="0" distR="0">
            <wp:extent cx="6515100" cy="36480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3648075"/>
                    </a:xfrm>
                    <a:prstGeom prst="rect">
                      <a:avLst/>
                    </a:prstGeom>
                  </pic:spPr>
                </pic:pic>
              </a:graphicData>
            </a:graphic>
          </wp:inline>
        </w:drawing>
      </w:r>
      <w:bookmarkStart w:id="1" w:name="i-2"/>
      <w:bookmarkEnd w:id="1"/>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Large Traditional Print and Promotional Products Markets Undergoing Disruptive Innovation</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products and customer applications listed above constitute a large market opportunity that is highly fragmented. We believe that the vast majority of the print-related markets to which mass customization could apply are still served by traditional business models that force customers either to produce in large quantities per order or pay a high price per unit.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that these large and fragmented markets are moving away from small traditional suppliers that employ job-shop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believe we are relatively early in the process of what will be a multi-decade shift from job-shop business models to mass customization, as innovation continues to bring new product categories into this model.</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current revenue represents a very small fraction of this market opportunity. We believe that Cimpress and competitors who have built their businesses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the free business cards for the most price sensitive micro-businesses or basic white t-shirts that VistaPrint started with) and then moves up market, eventually displacing established competitors (such as those in the markets mentioned above).</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this market shift to a mass customization paradigm, and our ability to deliver substantially better customer value and disrupt large traditional industries can translate into significant long-term growth for Cimpress. Earlier in our history, we focused primarily on a narrow set of customers (highly price-sensitive and discount-driven micro businesses and consumers) with a limited offering of relatively simple-to-produce products. Through acquisitions and via significant investments in our VistaPrint business, we have expanded the breadth and depth of our product offerings, extended our ability to serve our traditional customers and developed capabilities to serve a vast range of customer types with ever-more-complex product formats (what we call "elevated products"). This has been a key part of our growth over the last two decades, and we expect to continue to focus on capturing growth via innovation and new product introduction in the coming decades.</w:t>
      </w:r>
    </w:p>
    <w:p>
      <w:pPr>
        <w:pStyle w:val="TextBody"/>
        <w:bidi w:val="0"/>
        <w:spacing w:lineRule="auto" w:line="268" w:before="200" w:after="283"/>
        <w:jc w:val="left"/>
        <w:rPr>
          <w:rFonts w:ascii="Arial;sans-serif" w:hAnsi="Arial;sans-serif"/>
          <w:b w:val="false"/>
          <w:i/>
          <w:color w:val="000000"/>
          <w:sz w:val="20"/>
        </w:rPr>
      </w:pPr>
      <w:r>
        <w:rPr>
          <w:rFonts w:ascii="Arial;sans-serif" w:hAnsi="Arial;sans-serif"/>
          <w:b w:val="false"/>
          <w:i/>
          <w:color w:val="000000"/>
          <w:sz w:val="20"/>
        </w:rPr>
        <w:t>Print and Promotional Products Market Opportunity</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businesses conduct market research on an ongoing basis, and through those studies we remain confident in the overall market opportunity; however, our estimates are approximate. Despite the imprecise nature of our estimates, we believe that our understanding is directionally correct and that we operate in a vast aggregate market with significant opportunity for Cimpress to grow as we continue delivering a differentiated and attractive value proposition to customers. Today, we believe that the revenue opportunity for low-to-medium order quantities (i.e., still within our focus of small-sized individual orders) in the four product categories below is over $100 billion annually in North America, Europe and Australia, and significantly higher if you include other geographies and custom consumer products. These product categories are listed in order of current market penetration by mass customization models.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 This opportunity is estimated to be more than $25 billion per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Large format products such as banners, signs, tradeshow displays, and point-of-sale displays. Businesses of all sizes are the main end users of short-and-medium run lengths (less than 1,000 units). This opportunity is estimated to be more than $35 billion per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Promotional products, apparel, and gifts including decorated apparel, bags, and textiles, and hard goods such as pens and drinkware. The end users of short-and-medium runs of these products range from businesses to teams, associations and groups, as well as individual consumers. This opportunity is estimated to be more than $25 billion per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Packaging products, such as corrugated board packaging, flexible packaging, printed paper bags, and labels. Businesses of all sizes are the primary end users for short-and-medium runs (below 10,000 units). This opportunity is estimated to be more than $15 billion per year.</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market for small format marketing materials is the most mature in terms of penetration, though there is still a significant portion served by thousands of small traditional suppliers. The market for packaging products is the least mature in terms of penetration by mass customization models, but this transition has begun. The estimates of annual market opportunity in each of the four product categories above are based on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conducted for Cimpress by third-party research firm Keypoint Intelligence in August 2022 to estimate the value of print shipments to small and medium businesses in Australia, France, Germany, Italy, the U.K. and the U.S. Cimpress extrapolated the findings of the study to estimate the market size of the remaining countries in North America and Europe in which we sell products based on the relative number of small and medium businesses in those other markets.</w:t>
      </w:r>
    </w:p>
    <w:p>
      <w:pPr>
        <w:pStyle w:val="TextBody"/>
        <w:bidi w:val="0"/>
        <w:spacing w:lineRule="auto" w:line="268" w:before="200" w:after="283"/>
        <w:jc w:val="left"/>
        <w:rPr>
          <w:rFonts w:ascii="Arial;sans-serif" w:hAnsi="Arial;sans-serif"/>
          <w:b w:val="false"/>
          <w:i/>
          <w:color w:val="000000"/>
          <w:sz w:val="20"/>
        </w:rPr>
      </w:pPr>
      <w:r>
        <w:rPr>
          <w:rFonts w:ascii="Arial;sans-serif" w:hAnsi="Arial;sans-serif"/>
          <w:b w:val="false"/>
          <w:i/>
          <w:color w:val="000000"/>
          <w:sz w:val="20"/>
        </w:rPr>
        <w:t>Design as an Enabler of the Print and Promotional Products Market Opportunity</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VistaPrint was an early pioneer of the concept of web-based do-it-yourself design as a fundamental part of its original customer value proposition for designs for relatively simple 2D product formats. We believe that there is an ongoing revolution in graphic design for small business marketing, one in which a combination of technology tools, artificial intelligence ("AI") and machine learning, and convenient access via two-sided marketplace platforms to professional freelance design talent (including from low-cost countries) will continue a multi-decade democratization of design that has been central to print mass customization, and is likely to continue to be a key enabler to bringing elevated products and marketing channels into the mass customization paradigm (for example, packaging, large format signage, and catalogs). Across Cimpress our businesses are improving their customer design experiences. They very often build these business-level experiences on top of design capabilities that our MCP provides as software services, and individual businesses also develop design enablement capabilities that are specific to their customer and product needs. We are advancing design capabilities via user experience improvements, workflow automation and a large pool of talented in-house and freelance designers and graphic professionals who are located in low-cost labor markets. We have been adopting machine learning and generative AI capabilities for design and personalization to facilitate content creation and matching across a wide variety of products, personalized merchandising and more, showing promising uplift in key customer metrics and financial outcomes. Our businesses use data insights to drive efficiency gains and resource prioritization.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research has found that small businesses in the markets we serve that purchase design services represent the majority of the addressable market for print and digital marketing materials. We believe that the broader complement of design services that VistaPrint has invested in should enable VistaPrint to retain customers longer as their needs evolve, as well as attract new customers and serve existing customers with elevated products, and therefore access more of our total addressable market.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Our Businesses</w:t>
      </w:r>
    </w:p>
    <w:p>
      <w:pPr>
        <w:pStyle w:val="TextBody"/>
        <w:bidi w:val="0"/>
        <w:spacing w:lineRule="auto" w:line="26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businesses include our organically developed VistaPrint business, plus businesses that we have either fully acquired or in which we have a majority equity stake. Prior to their acquisitions, most of our acquired companies pursued business models that already applied the principles of mass customization to print and promotional products. Each provided a standardized set of products that could be configured and customized by customers, ordered in relatively low volumes, and produced via relatively standardized, homogeneous production processes, at prices lower than those charged by traditional producers.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businesses serve markets primarily in North America, Western Europe, Australia, and New Zealand as well as smaller businesses in India and Brazil. Their websites typically offer a broad assortment of tools and features allowing customers to create a product design or upload their own complete design and place an order, either on a self-service basis or with varying levels of assistance.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design services, textiles, and magazines and catalogs.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operations enables us to deliver value to customers much more effectively than traditional competitors.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businesses operate production facilities throughout the geographies listed above, with approximately 3 million square feet of production space in the aggregate across our owned and operated facilities. We also work extensively with hundreds of external fulfillers across the globe. We believe that the improvements we have made and the future improvements we intend to make in software and manufacturing technologies that support the design, sortation, scheduling, production, and delivery processes provide us with significant competitive advantage.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many cases our businesses can produce and ship an order the same day they receive it. Our supply chain systems and processes seek to reduce inventory and working capital and improve delivery speeds to customers relative to traditional suppliers. In certain of our company-operated manufacturing facilities, software schedules the near-simultaneous production of different customized products that have been ordered by the same customer, allowing us to produce and deliver multi-part orders quickly and efficiently. Importantly, our businesses are increasingly connected to each other via our mass customization platform, which has opened entirely new opportunities to expand product offerings in some of our businesses and to optimize production not just within a single facility as we have historically done, but also across multiple facilities within specific regions. Our businesses increasingly act as fulfillers to each other, driving higher volumes through focused production hubs and lowering the unit cost of production even further, benefiting our customers and our financial results.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that the potential for scale-based advantages is not limited to focused, automated production lines. Other advantages include the ability to systematically and automatically sort through the voluminous “long tail” of diverse and uncommon orders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are nonetheless significant relative to traditional suppliers of the long-tail product in question; thus, our relative efficiency gains remain substantial. We acquired most of our capabilities in this area via our investments in Exaprint, Printdeal, Pixartprinting, and WIRmachenDRUCK. For instance, the product assortment of each of these four businesses is measured in the tens of thousands, versus VistaPrint where product assortment is dramatically smaller on a relative basis. In addition to our own production of long-tail products, we rely on third-party fulfillment partnerships for a portion of our production, which allow us to offer a diverse set of products. This deep and broad product offering is important to many customers. </w:t>
      </w:r>
    </w:p>
    <w:p>
      <w:pPr>
        <w:pStyle w:val="TextBody"/>
        <w:bidi w:val="0"/>
        <w:spacing w:lineRule="auto" w:line="288" w:before="200" w:after="283"/>
        <w:jc w:val="left"/>
        <w:rPr>
          <w:color w:val="000000"/>
        </w:rPr>
      </w:pPr>
      <w:r>
        <w:rPr>
          <w:color w:val="000000"/>
        </w:rPr>
        <w:t>    </w:t>
      </w:r>
      <w:r>
        <w:rPr>
          <w:rFonts w:ascii="Arial;sans-serif" w:hAnsi="Arial;sans-serif"/>
          <w:b w:val="false"/>
          <w:color w:val="000000"/>
          <w:sz w:val="20"/>
        </w:rPr>
        <w:t>Our businesses are currently organized into the following five reportable segments:</w:t>
      </w:r>
    </w:p>
    <w:p>
      <w:pPr>
        <w:pStyle w:val="TextBody"/>
        <w:bidi w:val="0"/>
        <w:spacing w:lineRule="auto" w:line="288" w:before="200" w:after="283"/>
        <w:ind w:left="0" w:right="0" w:hanging="360"/>
        <w:jc w:val="left"/>
        <w:rPr/>
      </w:pPr>
      <w:r>
        <w:rPr>
          <w:rFonts w:ascii="Arial;sans-serif" w:hAnsi="Arial;sans-serif"/>
          <w:b/>
          <w:color w:val="000000"/>
          <w:sz w:val="20"/>
        </w:rPr>
        <w:t>1.VistaPrint</w:t>
      </w:r>
      <w:r>
        <w:rPr>
          <w:rFonts w:ascii="Arial;sans-serif" w:hAnsi="Arial;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16"/>
        <w:gridCol w:w="1069"/>
        <w:gridCol w:w="1071"/>
        <w:gridCol w:w="2005"/>
        <w:gridCol w:w="2005"/>
        <w:gridCol w:w="2839"/>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66925" cy="3619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066925" cy="361950"/>
                          </a:xfrm>
                          <a:prstGeom prst="rect">
                            <a:avLst/>
                          </a:prstGeom>
                        </pic:spPr>
                      </pic:pic>
                    </a:graphicData>
                  </a:graphic>
                </wp:inline>
              </w:drawing>
            </w:r>
            <w:bookmarkStart w:id="2" w:name="i-3"/>
            <w:bookmarkEnd w:id="2"/>
          </w:p>
        </w:tc>
        <w:tc>
          <w:tcPr>
            <w:tcW w:w="6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Consists of the operations of our VistaPrint branded websites in North America, Western Europe, Australia, New Zealand, India, and Singapore. This business also includes several smaller revenue and profit streams: our 99designs by Vista business, which provides graphic design services, VistaCreate for do-it-yourself (DIY) design, our Vista x Wix partnership for small business websites, and our VistaPrint Corporate Solutions business, which serves medium-sized businesses and large corporations.</w:t>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VistaPrint helps about 11 million small businesses annually to create attractive, professional-quality marketing and branding products at affordable prices and low volumes. With VistaPrint, small businesses can create and customize their marketing with easy-to-use digital tools and design templates, or by receiving expert graphic design support.</w:t>
      </w:r>
    </w:p>
    <w:p>
      <w:pPr>
        <w:pStyle w:val="TextBody"/>
        <w:bidi w:val="0"/>
        <w:spacing w:lineRule="auto" w:line="268" w:before="200" w:after="283"/>
        <w:jc w:val="left"/>
        <w:rPr>
          <w:rFonts w:ascii="Arial;sans-serif" w:hAnsi="Arial;sans-serif"/>
          <w:b w:val="false"/>
          <w:color w:val="000000"/>
          <w:sz w:val="20"/>
        </w:rPr>
      </w:pPr>
      <w:r>
        <w:rPr>
          <w:rFonts w:ascii="Arial;sans-serif" w:hAnsi="Arial;sans-serif"/>
          <w:b w:val="false"/>
          <w:color w:val="000000"/>
          <w:sz w:val="20"/>
        </w:rPr>
        <w:t xml:space="preserve">VistaPrint seeks to become the premier destination for small business custom print. Over the past decade, VistaPrint has transformed its offering and value proposition to allow us to serve a significantly expanded range of small business customer needs across a wide variety of print, signage, promotional and packaging products, as well as solutions that include design, assurance and expertise, social media, and web presence. </w:t>
      </w:r>
    </w:p>
    <w:p>
      <w:pPr>
        <w:pStyle w:val="TextBody"/>
        <w:bidi w:val="0"/>
        <w:spacing w:lineRule="auto" w:line="268" w:before="200" w:after="283"/>
        <w:jc w:val="left"/>
        <w:rPr>
          <w:rFonts w:ascii="Arial;sans-serif" w:hAnsi="Arial;sans-serif"/>
          <w:b w:val="false"/>
          <w:color w:val="000000"/>
          <w:sz w:val="20"/>
        </w:rPr>
      </w:pPr>
      <w:r>
        <w:rPr>
          <w:rFonts w:ascii="Arial;sans-serif" w:hAnsi="Arial;sans-serif"/>
          <w:b w:val="false"/>
          <w:color w:val="000000"/>
          <w:sz w:val="20"/>
        </w:rPr>
        <w:t>VistaPrint represents the vast majority of the revenue in this segment where, during fiscal year 2026, average order value (AOV) was approximately $100 and customers spent, on average, a bit more than $170 for the year; gross margins were about 55% and advertising spend as a percent of revenue was about 15%. VistaPrint has had strong free cash flow conversion as its e-commerce model typically leads to collections from customers prior to the production and shipment of customer orders, and mass customization allows for relatively low levels of inventory relative to revenue.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Upload &amp; Print: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Our Upload &amp; Print businesses are organized in two reportable segments: PrintBrothers and The Print Group, both of which focus on serving graphic professionals such as local printers, print resellers, graphic artists, advertising agencies, and other customers with professional desktop publishing skill sets. Average order values and annual spend per customer vary by business, with AOVs, on average, of about €100 - €200 and annual spend per customer of about €300 - €1,000 in fiscal year 2026. Gross margins vary by business but averaged about 32% in fiscal year 2026 due to wholesale-like pricing and the wide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1"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products produced both in owned facilities and via third-party fulfillers. Advertising spend as a percent of external revenue was about 5% in fiscal year 2026, although it also varies by business.</w:t>
      </w:r>
    </w:p>
    <w:p>
      <w:pPr>
        <w:pStyle w:val="TextBody"/>
        <w:bidi w:val="0"/>
        <w:spacing w:lineRule="auto" w:line="268" w:before="0" w:after="0"/>
        <w:ind w:left="0" w:right="0" w:hanging="360"/>
        <w:jc w:val="left"/>
        <w:rPr/>
      </w:pPr>
      <w:r>
        <w:rPr>
          <w:rFonts w:ascii="Arial;sans-serif" w:hAnsi="Arial;sans-serif"/>
          <w:b/>
          <w:color w:val="000000"/>
          <w:sz w:val="20"/>
        </w:rPr>
        <w:t xml:space="preserve">2.PrintBrothers: </w:t>
      </w:r>
      <w:r>
        <w:rPr>
          <w:rFonts w:ascii="Arial;sans-serif" w:hAnsi="Arial;sans-serif"/>
          <w:b w:val="false"/>
          <w:color w:val="000000"/>
          <w:sz w:val="20"/>
        </w:rPr>
        <w:t xml:space="preserve">Consists of our druck.at, Printdeal, and WIRmachenDRUCK businesses amongst others. PrintBrothers businesses serve customers throughout Europe, primarily in Austria, Belgium, Germany, the Netherlands, and Switzerland. </w:t>
      </w:r>
    </w:p>
    <w:tbl>
      <w:tblPr>
        <w:tblW w:w="4882" w:type="dxa"/>
        <w:jc w:val="center"/>
        <w:tblInd w:w="0" w:type="dxa"/>
        <w:tblLayout w:type="fixed"/>
        <w:tblCellMar>
          <w:top w:w="28" w:type="dxa"/>
          <w:left w:w="28" w:type="dxa"/>
          <w:bottom w:w="28" w:type="dxa"/>
          <w:right w:w="28" w:type="dxa"/>
        </w:tblCellMar>
      </w:tblPr>
      <w:tblGrid>
        <w:gridCol w:w="689"/>
        <w:gridCol w:w="605"/>
        <w:gridCol w:w="607"/>
        <w:gridCol w:w="873"/>
        <w:gridCol w:w="873"/>
        <w:gridCol w:w="1235"/>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0" cy="4572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143000" cy="457200"/>
                          </a:xfrm>
                          <a:prstGeom prst="rect">
                            <a:avLst/>
                          </a:prstGeom>
                        </pic:spPr>
                      </pic:pic>
                    </a:graphicData>
                  </a:graphic>
                </wp:inline>
              </w:drawing>
            </w:r>
            <w:bookmarkStart w:id="3" w:name="i-4"/>
            <w:bookmarkEnd w:id="3"/>
          </w:p>
        </w:tc>
        <w:tc>
          <w:tcPr>
            <w:tcW w:w="29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0" cy="4667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809750" cy="466725"/>
                          </a:xfrm>
                          <a:prstGeom prst="rect">
                            <a:avLst/>
                          </a:prstGeom>
                        </pic:spPr>
                      </pic:pic>
                    </a:graphicData>
                  </a:graphic>
                </wp:inline>
              </w:drawing>
            </w:r>
            <w:bookmarkStart w:id="4" w:name="i-5"/>
            <w:bookmarkEnd w:id="4"/>
          </w:p>
        </w:tc>
      </w:tr>
      <w:tr>
        <w:trPr/>
        <w:tc>
          <w:tcPr>
            <w:tcW w:w="4882"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62200" cy="6572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362200" cy="657225"/>
                          </a:xfrm>
                          <a:prstGeom prst="rect">
                            <a:avLst/>
                          </a:prstGeom>
                        </pic:spPr>
                      </pic:pic>
                    </a:graphicData>
                  </a:graphic>
                </wp:inline>
              </w:drawing>
            </w:r>
            <w:bookmarkStart w:id="5" w:name="i-6"/>
            <w:bookmarkEnd w:id="5"/>
          </w:p>
        </w:tc>
      </w:tr>
    </w:tbl>
    <w:p>
      <w:pPr>
        <w:pStyle w:val="TextBody"/>
        <w:bidi w:val="0"/>
        <w:spacing w:lineRule="auto" w:line="268" w:before="200" w:after="283"/>
        <w:ind w:left="0" w:right="0" w:hanging="360"/>
        <w:jc w:val="left"/>
        <w:rPr/>
      </w:pPr>
      <w:r>
        <w:rPr>
          <w:rFonts w:ascii="Arial;sans-serif" w:hAnsi="Arial;sans-serif"/>
          <w:b/>
          <w:color w:val="000000"/>
          <w:sz w:val="20"/>
        </w:rPr>
        <w:t xml:space="preserve">3.The Print Group: </w:t>
      </w:r>
      <w:r>
        <w:rPr>
          <w:rFonts w:ascii="Arial;sans-serif" w:hAnsi="Arial;sans-serif"/>
          <w:b w:val="false"/>
          <w:color w:val="000000"/>
          <w:sz w:val="20"/>
        </w:rPr>
        <w:t xml:space="preserve">Consists of our Easyflyer, Exaprint, Mixam, Pixartprinting, and Tradeprint businesses. The Print Group businesses serve customers throughout Europe, primarily in France, Italy, Spain, and the United Kingdom and to a lesser extent in the United States. </w:t>
      </w:r>
    </w:p>
    <w:tbl>
      <w:tblPr>
        <w:tblW w:w="5587" w:type="dxa"/>
        <w:jc w:val="center"/>
        <w:tblInd w:w="0" w:type="dxa"/>
        <w:tblLayout w:type="fixed"/>
        <w:tblCellMar>
          <w:top w:w="28" w:type="dxa"/>
          <w:left w:w="28" w:type="dxa"/>
          <w:bottom w:w="28" w:type="dxa"/>
          <w:right w:w="28" w:type="dxa"/>
        </w:tblCellMar>
      </w:tblPr>
      <w:tblGrid>
        <w:gridCol w:w="999"/>
        <w:gridCol w:w="878"/>
        <w:gridCol w:w="879"/>
        <w:gridCol w:w="829"/>
        <w:gridCol w:w="829"/>
        <w:gridCol w:w="1173"/>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85925" cy="2952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685925" cy="295275"/>
                          </a:xfrm>
                          <a:prstGeom prst="rect">
                            <a:avLst/>
                          </a:prstGeom>
                        </pic:spPr>
                      </pic:pic>
                    </a:graphicData>
                  </a:graphic>
                </wp:inline>
              </w:drawing>
            </w:r>
            <w:bookmarkStart w:id="6" w:name="i-7"/>
            <w:bookmarkEnd w:id="6"/>
          </w:p>
        </w:tc>
        <w:tc>
          <w:tcPr>
            <w:tcW w:w="28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90650" cy="3048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390650" cy="304800"/>
                          </a:xfrm>
                          <a:prstGeom prst="rect">
                            <a:avLst/>
                          </a:prstGeom>
                        </pic:spPr>
                      </pic:pic>
                    </a:graphicData>
                  </a:graphic>
                </wp:inline>
              </w:drawing>
            </w:r>
            <w:bookmarkStart w:id="7" w:name="i-8"/>
            <w:bookmarkEnd w:id="7"/>
          </w:p>
        </w:tc>
      </w:tr>
      <w:tr>
        <w:trPr/>
        <w:tc>
          <w:tcPr>
            <w:tcW w:w="27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19250" cy="600075"/>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1619250" cy="600075"/>
                          </a:xfrm>
                          <a:prstGeom prst="rect">
                            <a:avLst/>
                          </a:prstGeom>
                        </pic:spPr>
                      </pic:pic>
                    </a:graphicData>
                  </a:graphic>
                </wp:inline>
              </w:drawing>
            </w:r>
            <w:bookmarkStart w:id="8" w:name="i-9"/>
            <w:bookmarkEnd w:id="8"/>
          </w:p>
        </w:tc>
        <w:tc>
          <w:tcPr>
            <w:tcW w:w="28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0" cy="295275"/>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1714500" cy="295275"/>
                          </a:xfrm>
                          <a:prstGeom prst="rect">
                            <a:avLst/>
                          </a:prstGeom>
                        </pic:spPr>
                      </pic:pic>
                    </a:graphicData>
                  </a:graphic>
                </wp:inline>
              </w:drawing>
            </w:r>
            <w:bookmarkStart w:id="9" w:name="i-10"/>
            <w:bookmarkEnd w:id="9"/>
          </w:p>
        </w:tc>
      </w:tr>
      <w:tr>
        <w:trPr/>
        <w:tc>
          <w:tcPr>
            <w:tcW w:w="5587"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552700" cy="4953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2552700" cy="495300"/>
                          </a:xfrm>
                          <a:prstGeom prst="rect">
                            <a:avLst/>
                          </a:prstGeom>
                        </pic:spPr>
                      </pic:pic>
                    </a:graphicData>
                  </a:graphic>
                </wp:inline>
              </w:drawing>
            </w:r>
            <w:bookmarkStart w:id="10" w:name="i-11"/>
            <w:bookmarkEnd w:id="10"/>
          </w:p>
        </w:tc>
      </w:tr>
    </w:tbl>
    <w:p>
      <w:pPr>
        <w:pStyle w:val="TextBody"/>
        <w:bidi w:val="0"/>
        <w:spacing w:lineRule="auto" w:line="288" w:before="100" w:after="283"/>
        <w:ind w:left="0" w:right="0" w:hanging="360"/>
        <w:jc w:val="left"/>
        <w:rPr/>
      </w:pPr>
      <w:r>
        <w:rPr>
          <w:rFonts w:ascii="Arial;sans-serif" w:hAnsi="Arial;sans-serif"/>
          <w:b/>
          <w:color w:val="000000"/>
          <w:sz w:val="20"/>
        </w:rPr>
        <w:t>4.National Pen</w:t>
      </w:r>
      <w:r>
        <w:rPr>
          <w:rFonts w:ascii="Arial;sans-serif" w:hAnsi="Arial;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195"/>
        <w:gridCol w:w="1050"/>
        <w:gridCol w:w="1051"/>
        <w:gridCol w:w="2023"/>
        <w:gridCol w:w="2023"/>
        <w:gridCol w:w="2863"/>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28825" cy="6858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2028825" cy="685800"/>
                          </a:xfrm>
                          <a:prstGeom prst="rect">
                            <a:avLst/>
                          </a:prstGeom>
                        </pic:spPr>
                      </pic:pic>
                    </a:graphicData>
                  </a:graphic>
                </wp:inline>
              </w:drawing>
            </w:r>
            <w:bookmarkStart w:id="11" w:name="i-12"/>
            <w:bookmarkEnd w:id="11"/>
          </w:p>
        </w:tc>
        <w:tc>
          <w:tcPr>
            <w:tcW w:w="69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Consists of our pens.com branded business and a few smaller brands operated by National Pen that are focused on customized writing instruments and promotional products, apparel, and gifts for small- and medium-sized businesses.</w:t>
            </w:r>
          </w:p>
          <w:p>
            <w:pPr>
              <w:pStyle w:val="TableContents"/>
              <w:bidi w:val="0"/>
              <w:spacing w:before="0" w:after="0"/>
              <w:jc w:val="left"/>
              <w:rPr/>
            </w:pPr>
            <w:r>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National Pen serves more than a million small businesses annually across geographies including North America, Europe, and Australia. The pens.com branded business sells through their ecommerce site and is supported by digital marketing methods as well as direct mail and telesales. National Pen focuses on customized writing instruments and promotional products, apparel, and gifts for small- and medium-sized businesses. During fiscal year 2026, National Pen’s average order value was about $380, and annual spend per customer was about $470. Gross margins were about 51% in fiscal year 2026 with highly seasonal profits driven in the December quarter. Advertising spend as a percent of revenue (excluding inter-segment revenue) was about 20% in fiscal year 2026. Significant inventory and customer invoicing requirements in this business drive different working capital needs compared to our other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120"/>
        <w:ind w:left="0" w:right="0" w:hanging="360"/>
        <w:jc w:val="left"/>
        <w:rPr/>
      </w:pPr>
      <w:r>
        <w:rPr>
          <w:rFonts w:ascii="Arial;sans-serif" w:hAnsi="Arial;sans-serif"/>
          <w:b/>
          <w:color w:val="000000"/>
          <w:sz w:val="20"/>
        </w:rPr>
        <w:t>5.All Other Businesses</w:t>
      </w:r>
      <w:r>
        <w:rPr>
          <w:rFonts w:ascii="Arial;sans-serif" w:hAnsi="Arial;sans-serif"/>
          <w:b w:val="false"/>
          <w:color w:val="000000"/>
          <w:sz w:val="20"/>
        </w:rPr>
        <w:t xml:space="preserve">: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A collection of businesses combined into one reportable segment based on materiality, including BuildASign, a larger business with strong profitability and cash flow, and Printi, a smaller business operating at a relatively modest operating loss. This segment also includes a small, focused team working on new channels. </w:t>
      </w:r>
    </w:p>
    <w:tbl>
      <w:tblPr>
        <w:tblW w:w="10205" w:type="dxa"/>
        <w:jc w:val="center"/>
        <w:tblInd w:w="0" w:type="dxa"/>
        <w:tblLayout w:type="fixed"/>
        <w:tblCellMar>
          <w:top w:w="28" w:type="dxa"/>
          <w:left w:w="28" w:type="dxa"/>
          <w:bottom w:w="28" w:type="dxa"/>
          <w:right w:w="28" w:type="dxa"/>
        </w:tblCellMar>
      </w:tblPr>
      <w:tblGrid>
        <w:gridCol w:w="645"/>
        <w:gridCol w:w="567"/>
        <w:gridCol w:w="569"/>
        <w:gridCol w:w="2463"/>
        <w:gridCol w:w="2463"/>
        <w:gridCol w:w="3498"/>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498"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66800" cy="54292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066800" cy="542925"/>
                          </a:xfrm>
                          <a:prstGeom prst="rect">
                            <a:avLst/>
                          </a:prstGeom>
                        </pic:spPr>
                      </pic:pic>
                    </a:graphicData>
                  </a:graphic>
                </wp:inline>
              </w:drawing>
            </w:r>
            <w:bookmarkStart w:id="12" w:name="i-13"/>
            <w:bookmarkEnd w:id="12"/>
          </w:p>
        </w:tc>
        <w:tc>
          <w:tcPr>
            <w:tcW w:w="8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BuildASign is an e-commerce provider of canvas-print wall décor, signage, and other large-format printed products.</w:t>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809625" cy="3810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809625" cy="381000"/>
                          </a:xfrm>
                          <a:prstGeom prst="rect">
                            <a:avLst/>
                          </a:prstGeom>
                        </pic:spPr>
                      </pic:pic>
                    </a:graphicData>
                  </a:graphic>
                </wp:inline>
              </w:drawing>
            </w:r>
            <w:bookmarkStart w:id="13" w:name="i-14"/>
            <w:bookmarkEnd w:id="13"/>
            <w:r>
              <w:rPr>
                <w:color w:val="000000"/>
              </w:rPr>
              <w:t xml:space="preserve"> </w:t>
            </w:r>
          </w:p>
        </w:tc>
        <w:tc>
          <w:tcPr>
            <w:tcW w:w="8424"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20"/>
              </w:rPr>
            </w:pPr>
            <w:r>
              <w:rPr>
                <w:rFonts w:ascii="Arial;sans-serif" w:hAnsi="Arial;sans-serif"/>
                <w:b w:val="false"/>
                <w:color w:val="000000"/>
                <w:sz w:val="20"/>
              </w:rPr>
              <w:t>As the online printing leader in Brazil, Printi offers a superior customer experience with transparent and attractive pricing, reliable service, and quality.</w:t>
            </w:r>
          </w:p>
        </w:tc>
      </w:tr>
    </w:tbl>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Central Procurement</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Given the scale of purchasing that happens across Cimpress’ businesses, there is significant value in coordinating our negotiations and purchasing to gain the benefit of scale. Our central procurement team negotiates and manages Cimpress-wide contracts for large-scale capital equipment, shipping services, and major categories of raw materials (e.g., paper, plates, ink). The Cimpress procurement team also supports procurement improvements, tools, and approaches across other aspects of our businesses’ purchases.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While we are focused on seeking low total cost in our strategic sourcing efforts, we also work to ensure quality, reliability, and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We also work to develop and implement logistics, warehousing, and outbound shipping strategies to provide a balance of low-cost material availability while limiting our inventory exposure. Additionally, this team partners with each of our businesses and production equipment suppliers to help drive innovation and new product introduction at advantaged costs.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Having this central procurement team working together with the procurement teams in each of our businesses benefits us relative to the market, and we believe it has enabled us to operate more effectively, mitigating supply and cost risks relative to smaller competitors.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Technology</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Our businesses typically rely on proprietary technology to attract and retain our customers, enable customers to create graphic designs and place orders on our websites, and sort, aggregate, and produce multiple orders in standardized, scalable processes. Technology is core to our competitive advantage, as without it our businesses would not be able to produce custom orders in small quantities while achieving economics that are more analogous to mass-produced items.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our Mass Customization Platform (MCP), which is a cloud-based collection of software services, APIs, web applications, and related technology that can be leveraged independently or together by our businesses and third parties to perform common tasks that are important to mass customization. Cimpress businesses, and increasingly third-party fulfillers to our various businesses, leverage different combinations of MCP services, depending on which capabilities complement their business-specific technology. The capabilities available in the MCP today include customer-facing technologies, such as ecommerce or those that enable customers to visualize their designs on various products, as well as manufacturing, supply chain, and logistics technologies that automate various stages of the production and delivery of a product to a customer. The benefits of the MCP include improved speed to market for new product introduction, reduction in fulfillment costs, improvement of product delivery or geographic expansion, improved site experience, automating manual tasks, and avoidance of certain redundant costs, which are especially impactful improvements when the platform is used to enable fulfillment between our Cimpress businesses. We believe the MCP can generate significant customer and shareholder value from increased specialization of production facilities, aggregated scale from multiple businesses, increased product offerings, and shared technology development costs.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intend to continue developing and enhancing our MCP-based customer-facing and manufacturing, supply chain, and logistics technologies and processes. We develop our MCP technology centrally and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Each of our businesses uses a mix of proprietary and third-party technology that supports the specific needs of that business. Their technology intensity ranges depending on their specific needs. Over the past few years, most of our businesses have modernized and modularized their business-specific technology to enable them to launch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content management, multivariate testing tools, and data warehousing, which are areas where specialized best-in-class technologies are better than the proprietary technologies they have replaced. This allows our engineering and development talent to focus on artwork technologies, product information management, and marketplace technologies from which we derive competitive advantage.</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In our central Cimpress Technology team and in an increasing number of our businesses, we have adopted an agile, micro-services-based approach to technology development that enables multiple businesses or use cases to leverage this API technology regardless of where it was originally developed. We believe this approach can help our businesses serve customers and scale operations more rapidly than they could as an individual business outside Cimpress.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Information Privacy and Security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xml:space="preserve">Each Cimpress business is responsible for working to ensure that customer, company, and team member information is secure and handled in compliance with relevant laws and regulations. Because there are many aspects of this topic that apply to all of our businesses, Cimpress also has a central security team that defines security policies, deploys security controls, and embeds security into the development processes of our businesses, among other services. This team works in partnership with each of our businesses and the corporate center to measure security maturity and risk, and provides managed security services in a way that allows each business to address their unique challenges, lower their costs, and become more efficient in using their resources.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Shared Talent Infrastructure</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both traditional suppliers and smaller online competitors, that we leverage across Cimpress.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markets for the products our businesses produce and sell are intensely competitive, highly fragmented, and geographically dispersed, with many existing and potential competitors. Though Cimpress is the largest business in our space, we still represent a small fraction of the overall market and believe there is significant room for growth over the long-term future.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competitive price points and, in doing so, offer our customers an attractive value proposition. As described above, in recent years VistaPrint expanded both its value proposition and addressable market to include design and digital marketing services.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current competition includes a combination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traditional offline suppliers and graphic design providers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online printing and graphic design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office superstores, mail and copy shop outlets, drug store chains, and other major retailers targeting small business and consumer markets for their printing needs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wholesale printers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self-service desktop design and publishing using personal computer software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email marketing services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website design and hosting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suppliers of customized apparel, promotional products, gifts, and packaging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online photo product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internet retailers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online providers of custom printing services that outsource production to third-party printers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providers of digital marketing such as social media and local search directories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Today’s market has evolved to be more competitive. This evolution, which has been ongoing for over 20 years, has led to major benefits for customers in terms of lower prices, faster lead times, and an easier customer experience. Cimpress and its businesses have proactively driven, and benefited from, this dynamic. The mass customization business model first took off with small format products such as business cards, post cards and flyers, and consumer products (holiday cards are an example). As the model has become better understood and more prevalent, and online advertising approaches more common, competition has become more intense. We continue to derive significant profits from these small format products. Additionally, there are other product areas that have only recently begun to benefit from mass customization, such as books, catalogs, magazines, textiles, and packaging, as well as promotional products, apparel and gifts (PPAG), and large format products such as signage.</w:t>
      </w:r>
      <w:r>
        <w:rPr>
          <w:color w:val="EE2724"/>
        </w:rPr>
        <w:t xml:space="preserve"> </w:t>
      </w:r>
    </w:p>
    <w:p>
      <w:pPr>
        <w:pStyle w:val="TextBody"/>
        <w:bidi w:val="0"/>
        <w:spacing w:before="0" w:after="0"/>
        <w:jc w:val="left"/>
        <w:rPr/>
      </w:pPr>
      <w:r>
        <w:rPr/>
      </w:r>
    </w:p>
    <w:p>
      <w:pPr>
        <w:pStyle w:val="TextBody"/>
        <w:bidi w:val="0"/>
        <w:spacing w:lineRule="auto" w:line="288" w:before="60" w:after="283"/>
        <w:jc w:val="left"/>
        <w:rPr/>
      </w:pPr>
      <w:r>
        <w:rPr>
          <w:rFonts w:ascii="Arial;sans-serif" w:hAnsi="Arial;sans-serif"/>
          <w:b/>
          <w:color w:val="000000"/>
          <w:sz w:val="20"/>
        </w:rPr>
        <w:t>Social and Environmental Responsibility</w:t>
      </w:r>
      <w:r>
        <w:rPr>
          <w:color w:val="EE2724"/>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fiscal year 2025, we conducted a preliminary Double Materiality Assessment (DMA) in preparation for the EU’s Corporate Sustainability Reporting Directive (CSRD), which will be effective for our fiscal year 2028 reporting. Following completion of this preliminary DMA, we conducted a review of our environmental sustainability targets (several of which expired at the end of fiscal year 2025), and made adjustments to sharpen our focus on our most material issues. Following this review, our work in sustainability continues to focus on reducing risk and improving our resilience in the following areas:</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 xml:space="preserve">Reducing greenhouse gas emissions: </w:t>
      </w:r>
      <w:r>
        <w:rPr>
          <w:rFonts w:ascii="Arial;sans-serif" w:hAnsi="Arial;sans-serif"/>
          <w:b w:val="false"/>
          <w:color w:val="000000"/>
          <w:sz w:val="20"/>
        </w:rPr>
        <w:t>We strive to achieve net zero carbon emissions by fiscal year 2040 across our entire value chain and to achieve a 38% reduction in emissions by fiscal year 2030 as compared to our fiscal year 2024 baseline. The majority of these baseline emissions are from our value chain (Scope 3). Through investments in energy-efficient infrastructure and equipment, as well as renewable energy, we have achieved significant reductions in our direct emissions (Scope 1) and indirect emissions from purchased electricity or other forms of energy (Scope 2), and expect further reductions in the future. In fiscal year 2025, we decided to update our baseline year to fiscal year 2024 (previously fiscal year 2019) to reflect significant enhancements in the quality of our Scope 3 accounting that rendered previous baselines less reliable; our targets continue to be informed by a science-based approach and we believe are in alignment with a 1.5°C decarbonization pathway. This improved accounting has enabled deeper analysis of our Scope 3 emissions, including substrate and logistics choices, and clarified opportunities to reduce total emissions. We continue to focus on engaging our suppliers to further refine our Scope 3 data, and have begun to implement new ways to rationalize and systematize investment in carbon reduction across our businesses.</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Responsible forestry:</w:t>
      </w:r>
      <w:r>
        <w:rPr>
          <w:color w:val="000000"/>
        </w:rPr>
        <w:t xml:space="preserve"> </w:t>
      </w:r>
      <w:r>
        <w:rPr>
          <w:rFonts w:ascii="Arial;sans-serif" w:hAnsi="Arial;sans-serif"/>
          <w:b w:val="false"/>
          <w:color w:val="000000"/>
          <w:sz w:val="20"/>
        </w:rPr>
        <w:t>Our sourcing strategy seeks to minimize any contribution to deforestation, forest degradation, or loss of biodiversity. We have converted the vast majority of the paper we print on in our Cimpress-owned production facilities to materials certified by either the Forest Stewardship Council (FSC®) or the Programme for the Endorsement of Forest Certification (PEFC), leading certifications of responsible forestry practices. These certifications confirm that the paper we print on comes from responsibly managed forests that meet high environmental and social standards, and form a part of our preparations for compliance with the upcoming European Union Deforestation Regulation (EUDR) that becomes effective in December 2026. In fiscal year 2027, we will be required to comply with the EUDR for a limited subset of our wood fibre-based products (primarily paper being imported into the EU). We will continue our efforts to convert wood fibre-based materials used in our products outside of the European Union to FSC® and PEFC inputs, as well as within the European Union for wood fibre-based products outside the scope of the EUDR. We are also continuing to engage our third-party suppliers to materially expand their use of responsibly forested paper for the products that they customize on our behalf.</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Plastics transition:</w:t>
      </w:r>
      <w:r>
        <w:rPr>
          <w:color w:val="000000"/>
        </w:rPr>
        <w:t xml:space="preserve"> </w:t>
      </w:r>
      <w:r>
        <w:rPr>
          <w:rFonts w:ascii="Arial;sans-serif" w:hAnsi="Arial;sans-serif"/>
          <w:b w:val="false"/>
          <w:color w:val="000000"/>
          <w:sz w:val="20"/>
        </w:rPr>
        <w:t xml:space="preserve">We are committed to ensuring that the plastic products most material to our financial performance are made from materials with lower environmental impacts and higher resilience to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regulation due to impacts on the environment and human health. We will continue our focus on transitioning away from the use of PVC and polystyrene in our plastic product portfolio (largely banners, rigid signs and decals). We have made important progress toward this goal, including the test and launch of multiple alternative products, and we continue to focus on implementing marketing and merchandising approaches designed to maximize customer adoption of these new materials across all of our businesses.</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Packaging</w:t>
      </w:r>
      <w:r>
        <w:rPr>
          <w:rFonts w:ascii="Arial;sans-serif" w:hAnsi="Arial;sans-serif"/>
          <w:b w:val="false"/>
          <w:color w:val="000000"/>
          <w:sz w:val="20"/>
        </w:rPr>
        <w:t>: We also remain focused on reducing the risk of forestry and plastic transition-related issues in our packaging. We have updated our targets to provide direction to our businesses on these issues, as well as ensure that we remain aligned with regulatory advancements and customer expectations.</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Fair labor practices:</w:t>
      </w:r>
      <w:r>
        <w:rPr>
          <w:color w:val="000000"/>
        </w:rPr>
        <w:t xml:space="preserve"> </w:t>
      </w:r>
      <w:r>
        <w:rPr>
          <w:rFonts w:ascii="Arial;sans-serif" w:hAnsi="Arial;sans-serif"/>
          <w:b w:val="false"/>
          <w:color w:val="000000"/>
          <w:sz w:val="20"/>
        </w:rPr>
        <w:t>We require recruiting, retention, and other performance management related decisions to be made based solely on merit and organizational needs and considerations, such as an individual’s ability to perform their role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and have invested in education and awareness programs for team members to make further improvements in this area. We value individual differences, unique perspectives, and the distinct contributions that each of us can make to the company.</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Team member health and safety:</w:t>
      </w:r>
      <w:r>
        <w:rPr>
          <w:color w:val="000000"/>
        </w:rPr>
        <w:t xml:space="preserve"> </w:t>
      </w:r>
      <w:r>
        <w:rPr>
          <w:rFonts w:ascii="Arial;sans-serif" w:hAnsi="Arial;sans-serif"/>
          <w:b w:val="false"/>
          <w:color w:val="000000"/>
          <w:sz w:val="20"/>
        </w:rPr>
        <w:t xml:space="preserve">We require safe working conditions at all times to ensure our team members and other parties are protected, and require legal compliance at a minimum at all times. We require training on – and compliance with – safe work practices and procedures at all manufacturing facilities to ensure the safety of team members and visitors to our plant floors. </w:t>
      </w:r>
    </w:p>
    <w:p>
      <w:pPr>
        <w:pStyle w:val="TextBody"/>
        <w:bidi w:val="0"/>
        <w:spacing w:lineRule="auto" w:line="288" w:before="200" w:after="283"/>
        <w:ind w:left="0" w:right="0" w:hanging="360"/>
        <w:jc w:val="left"/>
        <w:rPr/>
      </w:pPr>
      <w:r>
        <w:rPr>
          <w:color w:val="000000"/>
        </w:rPr>
        <w:t>•</w:t>
      </w:r>
      <w:r>
        <w:rPr>
          <w:rFonts w:ascii="Arial;sans-serif" w:hAnsi="Arial;sans-serif"/>
          <w:b/>
          <w:color w:val="000000"/>
          <w:sz w:val="20"/>
        </w:rPr>
        <w:t>Ethical supply chain:</w:t>
      </w:r>
      <w:r>
        <w:rPr>
          <w:color w:val="000000"/>
        </w:rPr>
        <w:t xml:space="preserve"> </w:t>
      </w:r>
      <w:r>
        <w:rPr>
          <w:rFonts w:ascii="Arial;sans-serif" w:hAnsi="Arial;sans-serif"/>
          <w:b w:val="false"/>
          <w:color w:val="000000"/>
          <w:sz w:val="20"/>
        </w:rPr>
        <w:t xml:space="preserve">It is important to us that our supply chain reflects our commitment to doing business with the highest standards of ethics and integrity. We expect our suppliers to act in full compliance with applicable laws, rules, and regulations. Our code of business conduct and supplier code of conduct lay out our expectations regarding human rights (including forced and child labor), environmental standards, and safe working conditions. Each Cimpress business is responsible for closely monitoring its supply chain for adherence to these requirements.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More information can be found at www.cimpress.com in our Corporate Social Responsibility section, including links to reports and documents such as our Environmental, Social, and Governance (ESG) reports, supplier code of conduct, and compliance with the UK Modern Slavery Act and Canada's Fighting Against Forced Labour and Child Labour in Supply Chains Act.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Intellectual Property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seek to protect our proprietary rights through a combination of patents, copyrights, trade secrets, trademarks, and contractual restrictions imposed on our employees and third parties, and control access to, and distribution of, our proprietary information. We have registered, or applied for the registration of, many U.S. and international domain names, trademarks, and copyrights. Additionally, we have filed U.S. and international patent applications for certain of our proprietary technology.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Seasonality </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Our profitability has historically had seasonal fluctuations. Our second fiscal quarter, ending December 31, includes much of the holiday shopping season and has been our strongest quarter for sales of our consumer-oriented products, such as holiday cards, calendars, canvas prints, photobooks, and personalized gifts.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had approximately 16,000 full-time and approximately 500 temporary employees worldwide.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Corporate Information</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Cimpress plc was incorporated on July 5, 2017 as a private company limited by shares under the laws of Ireland and on November 18, 2019 was re-registered as a public limited company under the laws of Ireland. On December 3, 2019, Cimpress N.V., the former publicly traded parent company of the Cimpress group of entities, merged with and into Cimpress plc, with Cimpress plc surviving the merger and becoming the publicly traded parent company of the Cimpress group of entities.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make available, free of charge, through our investor relations website at ir.cimpress.com, the reports, proxy statements, amendments, and other materials we file with or furnish to the SEC as soon as reasonably practicable after we electronically file or furnish such materials with or to the SEC. The SEC also maintains an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Internet website that contains reports, proxy statements and other information about issuers, like us, that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file electronically with the SEC. The address of that website is www.sec.gov. We are not including the information contained on our website, or information that can be accessed by links contained on our website, as part of, or incorporating it by reference into, this Annual Report on Form 10-K. Further, the Company’s references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URLs for these websites are intended to be inactive textual references only.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1A. </w:t>
      </w:r>
      <w:r>
        <w:rPr>
          <w:rFonts w:ascii="Arial;sans-serif" w:hAnsi="Arial;sans-serif"/>
          <w:b/>
          <w:i/>
          <w:color w:val="000000"/>
          <w:sz w:val="20"/>
        </w:rPr>
        <w:t>Risk Factors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Risks Related to Our Business and Operations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We manage our business for long-term results, and our quarterly and annual financial results often fluctuate, which has led, and may continue to lead, to volatility in our share price.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Many of the factors that lead to period-to-period fluctuations are outside of our control; however, some factors are inherent in our business strategies. Some of the specific factors that have caused, and/or could cause, our operating results to fluctuate from quarter to quarter or year to year include among others: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investments in our business in the current period intended to generate longer-term returns, where the costs in the near term will not be offset by revenue or cost savings until future periods, if at all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to produce and deliver our products and provide our services, including the effects of inflation and increased energy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attract and retain customers and generate purchases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shifts in revenue mix toward products and brands with lower profit margins, such as the decline of business cards and faster growth in elevated products like promotional products and packaging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supply chain challenges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pricing and marketing strategies and those of our competitors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variations in the demand for our products and services, including potential declines from pricing changes, whether generally or related to tariffs, import duties, surcharges, or other trade policies of the U.S. or other countries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currency and interest rate fluctuations, which affect our revenue, costs, and fair value of our assets and liabilities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hedging activity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commencement or termination of agreements with our strategic partners, suppliers, and others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manage our production, fulfillment, and support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including volatility or economic downturns in some or all of our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expenses and charges related to our compensation arrangements with our executives and employees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and charges resulting from pending or threatened litigation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our effective income tax rate or tax-related benefits or costs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to acquire businesses or integrate our acquired businesses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impairments of our tangible and intangible assets including goodwill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outcomes of our minority investments and joint ventures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Some of our expenses, such as building leases, depreciation related to previously acquired property and equipment, and personnel costs, are relatively fixed. As a result, we sometimes have been, and may in the future be, unable or unwilling to adjust operating expenses to offset any revenue shortfall. Accordingly, any shortfall in revenue may cause significant variation in operating results in any period. Our operating results have, at times, fallen below the expectations of public market analysts and investors, which has led to declines in the price of our ordinary shares and may do so again in the future.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20"/>
        </w:rPr>
        <w:t xml:space="preserve">If we do not promote, strengthen, and evolve our brands, we could lose customers and revenue and fail to acquire new customers. </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A primary component of our business strategy is to promote, strengthen, and evolve our brands to attract new and repeat customers, and we face significant competition from other companies in our markets who also seek to establish strong brands. To promote, strengthen, and evolve our brands, we must incur substantial marketing expenses and establish a relationship of trust with our customers by providing a high-quality customer experience, which requires us to invest substantial amounts of our resources. A negative incident or circumstance involving our products, services, advertising, or corporate conduct can damage our reputation, especially if the incident or circumstance is widely publicized or "goes viral," and causes customers to lose trust in our brands, which could negatively impact our revenues.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Our global operations and decentralized organizational structure place a significant strain on our management, employees, facilities, and other resources and subject us to additional ongoing risks.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a global company with production facilities, offices, employees, and localized websites in many countries across six continents, and we manage our businesses and operations in a decentralized, autonomous manner. We are subject to a number of ongoing risks and challenges that relate to our global operations, decentralization, and complexity including, among others: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difficulty managing operations in, and communications among, multiple businesses, locations, and time zones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challenges of ensuring speed, nimbleness, and entrepreneurialism in a large and complex organization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risk of internal competition or brand cannibalization where multiple brands operate with overlapping offerings in the same geography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difficulty complying with multiple tax laws, treaties, and regulations and limiting our exposure to onerous or unanticipated taxes, duties, tariffs, and other costs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failure to maintain sufficient financial and operational controls and systems to manage our decentralized businesses and comply with our obligations as a public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challenge of complying with disparate laws in multiple countries, such as local regulations that may impair our ability to conduct our business or impact the willingness of third parties to conduct business with us, protectionist laws that favor local businesses, and restrictions imposed by local labor laws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challenge of maintaining management's focus on our strategic and operational priorities and minimizing lower priority distractions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disruptions caused by political and social instability and war that may occur in some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exposure to corrupt business practices that may be common in some countries or in some sales channels and markets, such as bribery or the willful infringement of intellectual property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difficulty repatriating cash from some countries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governmental trade policies, difficulty importing and exporting our products and supply chain materials across borders, and difficulty complying with customs regulations of countries where we produce and/or sell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increasing prices, disruptions or cessation of important components of our international supply chain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of local laws to provide a sufficient degree of protection against infringement of our intellectual property </w:t>
      </w:r>
    </w:p>
    <w:p>
      <w:pPr>
        <w:pStyle w:val="TextBody"/>
        <w:bidi w:val="0"/>
        <w:spacing w:before="0" w:after="0"/>
        <w:ind w:left="0" w:right="0" w:hanging="315"/>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trade and tariff environment applicable for the United States and other countries relevant to our operations continues to evolve and remains highly unpredictable. The United States has announced and/or implemented, and could continue to announce and/or implement, new and/or increased tariffs, duties, fees, customs requirements, and other trade restrictions on goods imported into the United States, which has generated, and could continue to generate, various trade and tariff-related responses from other countries. The statutory basis, scope, amount, duration, exemptions, and exclusions applicable to tariffs and trade-related measures and related de minimis treatment, customs entry processes, and other rules may evolve and do so quickly, including as a result of legislation, executive action, trade agreements, administrative guidance, or litigation. In particular, duty-free de minimis treatment under 19 U.S.C. § 1321(a)(2)(C) for low-value commercial shipments that would otherwise be eligible for that treatment has been suspended for shipments not covered by 50 U.S.C. § 1702(b), and the $800 commercial de minimis exemption is separately scheduled to be eliminated by statute effective July 1, 2027. Any loss, limitation, or uncertainty regarding duty-free treatment, customs entry processes, or exclusions for informational materials could increase our costs, require changes to our supply chain, fulfillment, logistics, pricing, or surcharge practices, or reduce demand for affected products. We operate manufacturing facilities throughout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world, including one in Ontario, Canada that primarily services our VistaPrint business, and others in Mexico, the United States, Australia, Brazil and throughout Europe. If the United States, whether based on statutes or through trade agreements, imposes and enforces significant tariffs or other trade-related measures applicable to imports from Canada, Mexico, China or any of the other countries in which we manufacture our products and/or source materials for any meaningful period, we would incur increased costs in operating our business and our financial results could be materially and adversely affected. Furthermore, if other countries impose and enforce increased or additional tariffs or other trade-related measures for any meaningful period, our business could be materially and adversely affected. For example, the United States has recently imposed or announced tariffs applicable to imports from Canada and many other countries in which we manufacture products or source materials, as further discussed below in Part II, Item 7, Management’s Discussion and Analysis of Financial Condition and Results of Operations. These measures could increase our costs, require changes to our supply chain, fulfillment, logistics, pricing, or surcharge practices, reduce demand for affected products, and materially and adversely affect our business and financial results. In addition to trade policy changes, changes to other U.S. or other countries' policies may impact, among other things, the U.S. and global economy, international trade relations, unemployment, immigration, healthcare, taxation, regulatory environments, and inflation; and we cannot predict the impact, if any, on our business of these and future policy changes.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addition, we are exposed to fluctuations in currency exchange rates that have impacted, and may continue to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sometimes have not mitigated, and may in the future not mitigate, the net impact of currency exchange rate fluctuations, and our financial results sometimes have differed, and may in the future differ, materially from expectations as a result of such fluctuations.</w:t>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Our hedging activity could negatively impact our results of operations, cash flows, or leverage.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potentially causing volatility in our cash or debt balances, and therefore our leverage.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Failure to protect our information systems and the confidential information of our customers, employees, and business partners against security breaches and thefts could damage our reputation and brands, subject us to litigation and enforcement actions, and substantially harm our business and results of operations. </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We and third parties with which we share information have experienced, and will continue to experience, threats to and breaches of our and their data and systems, cyberattacks and other malicious activity, including physical and electronic break-ins, computer viruses, ransomware attacks, and phishing and other social engineering scams, among other threats. Security threats continue to evolve and become more sophisticated and more difficult to detect and defend against, including by the increased use of artificial intelligence, deepfakes, synthetic media, and other automation to enhance attacks, and our vulnerabilities may be heightened by our decentralized operating structure and many of our employees working remotely. Despite our efforts, a hacker or thief may defeat our security measures, or those of our third-party service providers, partners, or vendors, and obtain confidential or personal information, and we or the third party may not discover the security breach and theft of information or accurately assess its scope, business impact, or materiality for a significant period of time after the breach occurs or at all. We may need to significantly increase the resources we expend to protect against security breaches and thefts of data or to address problems caused by breaches or thefts, and we may not be able to anticipate cyber attacks or implement adequate preventative measures. Any compromise, breach or failure of our information systems or the information systems of third parties with which we share information could result in, among other things: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interruptions in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misuse of our and our customers' and employees' confidential or personal information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comply with legal and industry privacy, cybersecurity, or incident reporting regulations and standards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exposure to losses, costs, litigation, enforcement actions, and other liability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damage to our reputation and brands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of revenue and profits and other negative financial results to the extent existing and potential customers believe that their personal and payment information may not be safe with us or those third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In addition, the regulatory landscape is constantly changing, as various regulatory bodies throughout the world enact new laws concerning privacy, data retention, data transfer, data protection, cybersecurity, online tracking, targeted advertising, and the use of AI and machine learning, including possible limitations on our ability to use customer data. Complying with these varying and changing requirements is challenging, especially for our smaller, more thinly staffed businesses, and could cause us to incur substantial costs or require us to change our business practices in a manner adverse to our business and operating results.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Inability to attract new and repeat customers in a cost-effective manner has harmed, and may in the future harm, our business and results of operations.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various businesses rely on a variety of marketing methods to attract new and repeat customers. These methods include promoting our products and services through paid channels such as online search, display, and television, as well as leveraging our owned and operated channels such as email, direct mail, our social media accounts, telesales, and SMS messaging. When the costs of these channels significantly increase or the effectiveness of these channels significantly declines, such as from changes to algorithms or targeting rules and/or from shifts in consumer behavior in online search and shopping related to AI-based discovery tools and chatbots, which we have experienced in the past and may experience in the future, our ability to efficiently attract new and repeat customers is reduced, our revenue and net income decline, and our business and results of operations are harmed. </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Shifts in online search behavior, including the rise of generative and agentic AI tools and technologies, may negatively impact customer traffic and acquisition efficiency and conversion rates, which could materially harm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Consumers are increasingly relying on generative and agentic AI tools and technologies, such as conversational search engines, autonomous shopping assistants, and AI-powered product recommendations, to discover, compare, and purchase products and services. These tools and technologies represent a shift away from traditional search engine behavior and direct website visits, which have historically driven a significant portion of our customer traffic and conversion activity. As these tools and technologies become more prevalent and integrated into consumers’ browsing and purchasing workflows, we may experience a decline in visibility within digital ecosystems we do not directly control. This could include, among other things, lower rankings in AI-generated product summaries, reduced referral traffic from major platforms, or increased reliance on third-party interfaces that prioritize competing offerings. These changes could adversely affect our customer acquisition cost, conversion rates, and overall brand control. Furthermore, our ability to adapt to new search paradigms may be limited by technology constraints, data availability, or platform interoperability, especially if generative and agentic AI search providers restrict access to their ecosystems or favor end-to-end platforms that control the full customer journey. Failure to effectively navigate this shift could materially harm our business, results of operations, and financial condition.</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Seasonal fluctuations in our business place a strain on our operations and resources.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profitability has historically been highly seasonal. Our second fiscal quarter, which ends on December 31, includes the majority of the holiday shopping season and typically accounts for a disproportionately high portion of earnings for the year for us overall and within certain business units, primarily due to higher sales of home and family products such as holiday cards, calendars, photo books, and personalized gifts. Lower than expected sales during the second quarter, which we have experienced in the past and may experience in the future, have a disproportionately large impact on our operating results and financial condition for the full fiscal year. Likewise,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inability of our manufacturing and other operations to keep up with the high volume of orders during our second fiscal quarter or other inefficiencies in our production or disruptions of our supply chains during the quarter, resulting in higher than expected costs, which we have experienced in the past and may experience in the future, have a disproportionately large impact on our earnings results and financial condition for the full fiscal year, as well as delays in order fulfillment and delivery and other disruptions, which negatively impact our ability to attract repeat customers, our reputation, and our future financial results.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businesses face risks related to interruption of operations and lack of redundancy.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businesses' production facilities, websites, infrastructure, supply chain, customer service centers, and operations are vulnerable to interruptions, and we do not have redundancies or alternatives in all cases to carry on these operations in the event of an interruption. In addition, because our businesses are dependent in part on third parties for certain aspects of our communications and production systems, we may not be able to remedy interruptions to these systems in a timely manner or at all due to factors outside of our control. Our suppliers, service providers (including shipping and logistics providers), third-party fulfillers, business partners, and customers face similar vulnerabilities to interruptions. Some of the events that could cause interruptions in our businesses' systems and operations, and those of our suppliers, service providers, third-party fulfillers, business partners, and customers, are the following, among others: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fire, natural disaster, or extreme weather, which could be exacerbated by climate change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ransomware, attacks on external websites or internal networks by hackers or other malicious parties, and other cyber security attacks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labor strike, work stoppage, labor disruption or other workforce issues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political instability, civil unrest, or acts of terrorism or war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power loss or telecommunication failure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outages, degradations, price increases, cyber incidents, financial distress, or other failures of third-party technology, payment, logistics, cloud, production, fulfillment, or other service providers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inadequate capacity in systems and infrastructure to cope with periods of high volume and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lack of affordable materials available to manufacture our supplies or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 or other public health crisis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Any interruptions to our systems or operations, or those of our suppliers, service providers, third-party fulfillers, business partners, and customers, could result in lost revenue and/or increased costs, as well as negative publicity, damage to our reputation and brands, and other adverse effects on our business and results of operations. Building redundancies into our infrastructure, systems, and supply chain to mitigate these risks may require us to commit substantial financial, operational, and technical resources.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We may not be successful in advancing the use of AI, which involves significant risks, and competitors may develop new or better products using AI that take market share, which could adversely affect our business, brand perception, or financial results.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use AI, including generative AI and third-party AI tools and models, in many parts of our value chain. There can be no assurance that we will be successful in using AI to enhance our products or services or otherwise benefit our business, including our efficiency or profitability, and there are significant risks involved in developing and deploying AI. For example, our AI-related efforts may give rise to risks related to harmful content, accuracy, bias, discrimination, intellectual property infringement or misappropriation, data privacy, and cybersecurity, among others. New laws, rules, directives, and regulations governing the use of AI, new or enhanced governmental or regulatory scrutiny, litigation, or other legal liability, ethical concerns, negative consumer perceptions as to automation and AI, or other complications could also adversely affect our business, brand perception, or financial results. In addition, statements we make about our use of AI, AI capabilities, strategy, benefits, limitations, or risks may be subject to regulatory, investor, customer, or other scrutiny, and any such statements that are, or are perceived as, inaccurate, inconsistent with our actual practices, or overstated could lead to reputational harm, litigation, enforcement action, or other liability. Further, we face competition from other companies that are developing their own AI products and technologies that may have a negative impact on our value chain, including in the areas of design services and content creation. These AI-enabled products and technologies are evolving quickly, can influence customer behavior and preferences, and may allow other companies to become more efficient than us and/or to more effectively acquire and retain customers. In addition, AI tools are rapidly shifting consumer behavior in online search and shopping, particularly relative to traditional search engines, which may require rapid strategic and technical adaptations and investments, including further standardizing and optimizing our data structures, all of which could increase our costs or otherwise adversely affect our business or financial results. Moreover, the pace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innovation in AI and developments related to its use, together with the breadth of its potential applications to our industry, make it impossible to identify or predict all of the risks related to using AI or all of the AI-related risks to our business.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 xml:space="preserve">Failure to meet our customers' price or other expectations adversely affects our business and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Demand for our products and services is sensitive to customers' expectations, particularly as to price for almost all of our businesses, and past changes in our pricing strategies had a significant impact on customer and order volume in some regions, which in turn adversely affected our revenue, profitability, and results of operations. Many factors impact our pricing and marketing strategies, including our infrastructure and operating expenses, the costs of raw materials, our competitors' pricing and marketing strategies, and the effects of inflation. We may not be able to mitigate increases in our costs by increasing the prices of our products and services. More recently, customer expectations have evolved as to shipping speeds, as well as speed and creative control from rapid developments in digital design tools. Failure to meet our customers' price or other expectations in the future would adversely affect our future business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Acquisitions and strategic investments may be disruptive to our business, may fail to achieve our goals, and can negatively impact our financial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An important way in which we pursue our strategy is to selectively acquire businesses, technologies, and services and make minority investments in businesses and joint ventures. The time and expense associated with acquisitions and investments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 There also is an opportunity cost that capital allocated to an acquisition, minority investment, or joint venture is no longer available for other uses.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An acquisition, minority investment, or joint venture may fail to achieve our goals and expectations and may have a negative impact on our business and financial results in a number of ways including the following: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They may not perform or fit with our strategy as well as we expected, and we may not realize anticipated synergies, returns on capital, free cash flow benefits, or other strategic benefits.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They can be costly and can result in increased expenses including impairments of goodwill and intangible assets if financial goals are not achieved, assumptions of contingent or unanticipated liabilities, amortization of certain acquired assets, and increased tax costs. In addition, we may overpay for acquired businesses.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Managing them may be more expensive or may require more resources than we expected. In addition, continuing to devote resources to a struggling business can take resources away from other investment areas and priorities.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not be able to retain their customers and key employees. In particular, it can be challenging to motivate the founders who built a business to continue to lead the business after they sell it to us. </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and can lead to larger than expected payouts that can adversely impact our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taking actions that benefit the business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Developing and deploying our mass customization platform is costly and resource-intensive, and we may not realize all of the anticipated benefits of the platform.</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the extent to which our businesses may adopt and/or continue to utilize components of our mass customization platform or the extent to which the platform may make us more effective and competitive. As a result, there can be no assurance that we will find new capabilities to add to the growing set of technologies that make up the platform, that our diverse businesses will realize further value from the platform, or that we will realize expected returns on the capital expended to develop the platform.</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 xml:space="preserve">We are subject to safety, health, and environmental laws and regulations, which could result in liabilities, cost increases, or restrictions on our operations.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0"/>
        </w:rPr>
        <w:t>We are subject to a variety of safety, health and environmental (SHE) laws and regulations across the jurisdictions in which we operate. SHE laws and regulations frequently change and evolve, including the addition of new SHE regulations, especially with respect to climate change.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or new SHE requirements,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Complying with existing SHE laws and regulations is costly, and we expect our costs to significantly increase as new SHE requirements are added and existing requirements become more stringent. In some cases we pursue self-imposed socially responsible policies that are more stringent than required by laws and regulations, for instance in the areas of worker safety, team member social benefits, and environmental protection such as carbon reduction initiatives. The costs of this added SHE effort are often substantial and could grow over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The failure of our business partners to use legal and ethical business practices could negatively impact our business.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contract with many suppliers, fulfillers, merchants, and other business partners in multiple jurisdictions worldwide. We require our business partners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If we are unable to protect our intellectual property rights, our reputation and brands could be damaged, and others may be able to use our technology, which could substantially harm our business and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rely on a combination of patents, trademarks, trade secrets, copyrights, and contractual restrictions to protect our intellectual property, but these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pStyle w:val="TextBody"/>
        <w:bidi w:val="0"/>
        <w:spacing w:lineRule="auto" w:line="288" w:before="0" w:after="0"/>
        <w:ind w:left="0" w:right="0" w:firstLine="720"/>
        <w:jc w:val="left"/>
        <w:rPr>
          <w:rFonts w:ascii="Arial;sans-serif" w:hAnsi="Arial;sans-serif"/>
          <w:b/>
          <w:color w:val="000000"/>
          <w:sz w:val="20"/>
        </w:rPr>
      </w:pPr>
      <w:r>
        <w:rPr>
          <w:rFonts w:ascii="Arial;sans-serif" w:hAnsi="Arial;sans-serif"/>
          <w:b/>
          <w:color w:val="000000"/>
          <w:sz w:val="20"/>
        </w:rPr>
        <w:t xml:space="preserve">Intellectual property disputes and litigation are costly and could cause us to lose our exclusive rights, subject us to liability, or require us to stop some of our business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business is dependent on the Internet, and unfavorable changes in government regulation of the Internet, e-commerce, and email marketing could substantially harm our business and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Because most of our businesses primarily depend on the Internet for our sales, laws specifically governing the Internet, e-commerce, and email marketing may have a greater impact on our operations than other more traditional businesses. In particular, laws covering pricing, customs, privacy, consumer protection, or commercial email may impede the growth of e-commerce and our ability to compete with traditional “brick and mortar” retailers. Unfavorable changes in, interpretations of, or developments with respect to, these types of laws or related or similar government regulation could substantially harm our business and financial results.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If we were required to screen the content that our customers incorporate into our products, our costs could significantly increase, which would harm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Because of our focus on automation and high volumes, many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the machine-learning tools we have developed to aid our content review fail to find instances of intellectual property infringement or objectionable or illegal content in customer orders, we could be required to increase the amount of manual screening we perform, which could significantly increase our costs, and we could be required to pay substantial penalties or monetary damages for any failure in our screening process. </w:t>
      </w:r>
    </w:p>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Risks Related to Our Industry and Macroeconomic Conditions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Supply chain disruptions have impaired, and may in the future impair, our ability to source raw materials.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 number of factors have impacted in the past, and could impact in the future, the availability of materials we use in our business, including rising costs and other inflationary pressures, changes in trade policies such as new or increased tariffs on materials we use in our business, rationing measures, labor shortages, civil unrest and war, and climate change. Our inability to source sufficient materials for our business in a timely manner, or at all, would significantly impair our ability to fulfill customer orders and sell our products, which would reduce our revenue and harm our financial results.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 xml:space="preserve">We need to hire, retain, develop, and motivate talented personnel in key roles in order to be successful, and we face intense competition for talent.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An inability to recruit, retain, develop, and motivate our employees in senior management and key roles such as technology, marketing, data science, and production would significantly increase the risk that we may not be able to execute on our strategy and grow our business as planned. We have seen increased competition for talent in recent years that makes it more difficult for us to retain the employees we have and to recruit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employees and also drives up the cost of compensation, and our current management and employees may cease their employment with us at any time with minimal advance notice. This retention risk is heightened with respect to the leaders of certain of our businesses who have in the past or may in the future receive substantial payouts from either their redeemable non-controlling interests in those businesses or long-term incentive awards, as it may be challenging to retain and motivate them to continue running their businesses. Although we believe our remote-first way of working, which allows many of our team members to work remotely with no expectation that they will commute to a company facility, is a competitive advantage, it can be more challenging to engage, motivate, and develop team members in a remote work environment, and our success depends on an engaged and motivated workforce and on developing the skills and talents of our workforce.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We face intense competition, and our competition may continue to increase.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enter the mass customization and print markets, and traditional “brick and mortar” businesses establish an online presence. We also face competition from companies in the design space, including those with AI-enabled design capabilities, some of which may be more established, experienced, or innovative than we are. Some of our current and potential competitors may have advantages over us, including longer operating histories, greater brand recognition or loyalty, broader customer reach, more focus on a given subset of our business, significantly greater financial, marketing, and other resources, production in lower-cost countries, speed of execution, or willingness to operate at a loss while building market share. Competition may result in price pressure, increased advertising expense, reduced profit margins, and loss of market share and brand recognition, any of which could substantially harm our business and financial results.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 major economic downturn or inflation could negatively affect our business and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If some or all of our markets enter a recession or other sustained economic downturn, demand for our products and services could be negatively impacted. An economic downturn could result in potential customers, especially small and medium-sized businesses, not being able to afford our products and, for example, instead relying more on free social media channels to market themselves instead of the products and services we offer. If demand for our products and services decreases, our business and financial results could be harmed. In addition, we experienced material cost increases in recent years that caused volatility in our financial performance. Although many costs have since stabilized or come down, we cannot predict whether costs will increase in the future or by how much, or whether we can successfully offset such cost increases through pricing, and if our costs rise again there could be further impacts to our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Meeting our ESG goals will be costly, and our ESG policies and positions could expose us to reputational harm.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face risks arising from the increased focus by our customers, investors, regulators, and others on environmental, social, and governance criteria, including with respect to climate change, labor practices, the diversity of our management and directors, and the composition of our Board. Meeting the ESG goals will require significant resources and expenditures, and we may face pressure to make commitments, establish additional goals, and take actions to meet them beyond our current plans. If customers, potential customers, regulators, or other influential groups or individuals are dissatisfied with our ESG goals or our progress toward meeting them, or our positions on ESG issues, then they may choose not to buy our products and services, or to otherwise target us negatively, which could lead to reduced revenue, and our reputation could be harmed.</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Risks Related to Our Corporate and Capital Structures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credit facility and the indentures that govern our notes restrict our current and future operations, particularly our ability to respond to changes or to take certain actions.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senior secured credit facility that governs our term loan and revolving credit and the indenture that governs our 7.375% Senior Notes due 2032, which we collectively refer to as our debt documents, contain a number of restrictive covenants that impose significant operating and financial restrictions on us and may limit how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conduct our business, execute our strategy, compete effectively, or take advantage of new business opportunities, including restrictions on our ability to: </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incur additional indebtedness, guarantee indebtedness, and incur liens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perform certain intercompany activities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grant liens on assets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pay dividends or make other distributions or repurchase or redeem capital stock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prepay, redeem, or repurchase subordinated debt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issue certain preferred stock or similar redeemable equity securities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make loans and investments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sell assets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enter into transactions with affiliates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alter the businesses we conduct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enter into agreements restricting our subsidiaries’ ability to pay dividends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consolidate, merge, or sell all or substantially all of our assets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 default under any of our debt documents could have a material adverse effect on our business.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Our failure to make scheduled payments on our debt or our breach of the covenants or restrictions under any of our debt documents could result in an event of default under the applicable indebtedness. Such a default could have a material adverse effect on our business and financial condition, including the following, among others:</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lenders could declare all outstanding principal and interest to be due and payable, and we and our subsidiaries may not have sufficient assets to repay that indebtedness.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secured lenders could foreclose against the assets securing their borrowings.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Our lenders under our revolving credit facility could terminate all commitments to extend further credit under that facility.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We could be forced into bankruptcy or liquidation.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material indebtedness and interest expense could adversely affect our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our total debt was $1,636.4 million. Our level of debt could have important consequences, including the following, among others: </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making it more difficult for us to satisfy our obligations with respect to our debt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limiting our ability to obtain additional financing to fund future working capital, capital expenditures, acquisitions, or other general corporate requirements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requiring a substantial portion of our cash flows to be dedicated to debt service payments instead of other purposes, thereby reducing the amount of cash flows available for working capital, capital expenditures, acquisitions, and other general corporate purposes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increasing our vulnerability to general adverse economic and industry conditions </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exposing us to the risk of increased interest rates as some of our borrowings, including borrowings under our credit facility, are at variable rates of interest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placing us at a disadvantage compared to other, less leveraged competitors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increasing our cost of borrowing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Subject to the limits contained in our debt documents, we may be able to incur substantial additional debt from time to time, and if we do so, the risks related to our level of debt could intensify.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Refinancing our debt may be particularly challenging in a high interest rate environment. We may not be able to effect any such alternative measures, if necessary, on commercially reasonable terms or at all, and if we cannot make scheduled payments on our debt, we will be in default.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variable rate indebtedness subjects us to interest rate risk, which could cause our debt service obligations to increase significantly.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Borrowings under our credit facility are at variable rates of interest and expose us to interest rate risk, and any interest rate swaps we enter into in order to reduce interest rate volatility may not fully mitigate our interest rate risk. If interest rates increase, our debt service obligations on the variable rate indebtedness will increase even if the amount borrowed remains the same, and our net income and cash flows, including cash available for servicing our indebtedness, will correspondingly decrease. As of June 30, 2026, a hypothetical 100 basis point increase in rates, inclusive of our outstanding interest rate swaps, would result in an increase of interest expense of approximately $7.4 million</w:t>
      </w:r>
      <w:r>
        <w:rPr>
          <w:color w:val="000000"/>
        </w:rPr>
        <w:t xml:space="preserve"> </w:t>
      </w:r>
      <w:r>
        <w:rPr>
          <w:rFonts w:ascii="Arial;sans-serif" w:hAnsi="Arial;sans-serif"/>
          <w:b w:val="false"/>
          <w:color w:val="000000"/>
          <w:sz w:val="20"/>
        </w:rPr>
        <w:t>over the next 12 months, not including any yield from our cash and marketable securities.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Challenges by various tax authorities to our international structure could, if successful, increase our effective tax rate and adversely affect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are an Irish public limited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plc group should be subject to income or other tax in their respective jurisdictions, which could result in an increase to our effective tax rate and adversely affect our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tax laws, regulations and treaties have affected, and may in the future affect, our effective tax rate and our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Changes in tax laws, treaties or regulations, or their interpretation, of any country in which we operate have had in the past, and may have in the future, a materially adverse impact on us, including increasing our tax burden, increasing costs of our tax compliance, or otherwise adversely affecting our financial condition, results of operations, and cash flows. There are currently multiple initiatives for comprehensive tax reform underway in key jurisdictions where we have operations, and we cannot predict whether any other specific legislation will be enacted or the terms of any such legislation. Furthermore, U.S. federal lawmakers have made, and may in the future make changes to U.S. tax law, regulations, treaties and policies. Although we cannot predict the impact, if any, of these changes to our business, they could adversely affect our business. In addition, the application of sales, value added, or other consumption taxes to e-commerce businesses, such as Cimpress, is a complex and evolving issue. When and if a government entity claims that we should have been collecting such taxes on the sale of our products in a jurisdiction where we have not been doing so, we have incurred, and may in the future incur, substantial tax liabilities for past sales.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intercompany arrangements may be challenged, which could result in higher taxes or penalties and an adverse effect on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operate pursuant to written transfer pricing agreements among Cimpress plc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Our transfer pricing arrangements are not binding on applicable tax authorities.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The ownership of our ordinary shares is highly concentrated, which could cause or exacerbate volatility in our share price.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Approximately 70% of our ordinary shares are held by our top 10 shareholders, and we may repurchase shares in the future (subject to the restrictions in our debt documents),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 without commensurate demand, as compared to a company with greater trading liquidity that could better absorb those sales without adverse impact on its share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Because of our corporate structure, our shareholders may find it difficult to enforce claims based on United States federal or state laws, including securities liabilities, against us or our management team.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are incorporated under the laws of Ireland. There can be no assurance that the courts of Ireland would recognize or enforce judgments of U.S. courts obtained against us or our directors or officers based on the civil liabilities provisions of the U.S. federal or state securities laws or that the courts of Ireland would hear actions against us or those persons based on those laws. There is currently no treaty between the U.S. and Ireland providing for the reciprocal recognition and enforcement of judgments in civil and commercial matters, and Irish common law rules govern the process by which a U.S. judgment will be enforced in Ireland. Therefore, a final judgment for the payment of money rendered by any U.S. federal or state court based on civil liability, whether or not based solely on U.S. federal or state securities laws, would not automatically or necessarily be enforceable in Ireland.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addition, because most of our assets are located outside of the United States and some of our directors and management reside outside of the United States, it could be difficult for investors to place a lien on our assets or those of our directors and officers in connection with a claim of liability under U.S. laws. As a result, it may be difficult for investors to enforce U.S. court judgments or rights predicated upon U.S. laws against us or our management team outside of the United States.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be treated as a passive foreign investment company for United States tax purposes, which may subject United States shareholders to adverse tax consequences.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believe that we were not a PFIC for the tax year ended June 30, 2026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a United States shareholder owns 10% or more of our ordinary shares, it may be subject to increased United States taxation under the controlled foreign corporation rules. Additionally, this may negatively impact the demand for our ordinary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If a United States shareholder owns 10% or more of our ordinary shares, it may be subject to increased United States federal income taxation (and possibly state income taxation) under United States federal income taxation rules relating to certain non-U.S. corporations that are considered a controlled foreign corporation, or "CFC." In general, if a U.S. person owns (or is deemed to own) at least 10% of the voting power or value of a non-U.S. corporation, or "10% U.S. Shareholder," and if such non-U.S. corporation is a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Subpart F income consists of, among other things, certain types of dividends, interest, rents, royalties, gains, and certain types of income from services, and personal property sales. In addition, a 10% U.S. Shareholder's pro rata share of other income of a CFC, even if not distributed, might also need to be included in a 10% U.S. Shareholder’s gross income for United States federal income tax (and possibly state income tax) purposes under the Net CFC Tested Income, or "NCTI," provisions of the U.S. tax law. In general, a non-U.S. corporation is considered a CFC if one or more 10% U.S. Shareholders together own more than 50% of the voting power or value of the corporation on any day during the taxable year of the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NCTI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1B. </w:t>
      </w:r>
      <w:r>
        <w:rPr>
          <w:rFonts w:ascii="Arial;sans-serif" w:hAnsi="Arial;sans-serif"/>
          <w:b/>
          <w:i/>
          <w:color w:val="000000"/>
          <w:sz w:val="20"/>
        </w:rPr>
        <w:t>Unresolved Staff Comments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1C. </w:t>
      </w:r>
      <w:r>
        <w:rPr>
          <w:rFonts w:ascii="Arial;sans-serif" w:hAnsi="Arial;sans-serif"/>
          <w:b/>
          <w:i/>
          <w:color w:val="000000"/>
          <w:sz w:val="20"/>
        </w:rPr>
        <w:t>Cybersecurity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have policies, procedures, and processes for assessing, identifying, and managing cybersecurity risks, which are defined and managed by Cimpress' central security and privacy team and are designed to help protect our information assets and operations from internal and external cyber threats and secure our networks and systems. Our cybersecurity processes include procedural and technical safeguards, response plans, regular vulnerability and penetration tests on our systems, incident simulations, and routine reviews of our policies and procedures to identify risks and improve our practices. Our cybersecurity incident response plan is designed to help coordinate our response to, and recovery from, cybersecurity incidents, and includes processes to assess the severity of, escalate, contain, investigate, and remediate incidents as well as to comply with applicable legal obligations. We have security policies that apply to all employees worldwide, and we conduct annual employee training on data protection, cybersecurity, and incident prevention, which covers timely and relevant topics, including social engineering, phishing, password protection, confidential data protection, asset use, mobile security, and AI.</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addition to our internal penetration testing and vulnerability management program, we engage an external party to simulate attacks on our systems to test our defenses and response. We also use a third-party vendor risk assessment platform to score vendors' cybersecurity vulnerabilities and provide suggested mitigations.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Audit Committee of our Board of Directors oversees cybersecurity risk and receives regular updates from our Vice President and Chief Security and Privacy Officer on these risks, risk management activities, incident response plans, best practices, the effectiveness of our security measures, and other related matters. Our Vice President and Chief Security and Privacy Officer, who reports to our Chief Technology Officer, leads our central security and privacy team, which works in partnership with each of our businesses and the corporate center to measure security maturity and risk and provides managed security services in a way that allows each business to address their unique challenges and become more efficient in using their resources. We have processes and policies for the escalation of cybersecurity incidents to the central security team, evaluation of the materiality of the incidents, and coordination of our response as needed across businesses and operations. Our Chief Security and Privacy Officer has more than 20 years of privacy and data security experience, including a series of roles in Cimpress over the last 15 years, the last four and a half years of which have been spent leading the central security and privacy team.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Although risks from cybersecurity threats have to date not materially affected us, our business strategy, results of operations or financial condition, we have, from time to time, experienced threats to and breaches of our and our third-party vendors’ data and systems. See Part I, Item 1A, Risk Factors, in this Annual Report for a discussion of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2. </w:t>
      </w:r>
      <w:r>
        <w:rPr>
          <w:rFonts w:ascii="Arial;sans-serif" w:hAnsi="Arial;sans-serif"/>
          <w:b/>
          <w:i/>
          <w:color w:val="000000"/>
          <w:sz w:val="20"/>
        </w:rPr>
        <w:t>Properties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own real property, including the following manufacturing operations that provide support across our businesses: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582,000 square foot facility located near Windsor, Ontario, Canada that primarily services our VistaPrint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362,000 square foot facility located in Venlo, the Netherlands that primarily services our VistaPrint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124,000 square foot facility located in Deer Park, Australia that primarily services our VistaPrint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115,000 square foot facility located in Bad Vöslau, Austria that was added as part of an acquisition in fiscal year 2026 and primarily services our PrintBrothers businesses.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97,000 square foot facility located near Montpellier, France that primarily services The Print Group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a summary of our currently occupied leased spaces is as follows: </w:t>
      </w:r>
    </w:p>
    <w:tbl>
      <w:tblPr>
        <w:tblW w:w="10205" w:type="dxa"/>
        <w:jc w:val="center"/>
        <w:tblInd w:w="0" w:type="dxa"/>
        <w:tblLayout w:type="fixed"/>
        <w:tblCellMar>
          <w:top w:w="28" w:type="dxa"/>
          <w:left w:w="28" w:type="dxa"/>
          <w:bottom w:w="28" w:type="dxa"/>
          <w:right w:w="28" w:type="dxa"/>
        </w:tblCellMar>
      </w:tblPr>
      <w:tblGrid>
        <w:gridCol w:w="605"/>
        <w:gridCol w:w="502"/>
        <w:gridCol w:w="419"/>
        <w:gridCol w:w="109"/>
        <w:gridCol w:w="109"/>
        <w:gridCol w:w="109"/>
        <w:gridCol w:w="413"/>
        <w:gridCol w:w="413"/>
        <w:gridCol w:w="243"/>
        <w:gridCol w:w="109"/>
        <w:gridCol w:w="109"/>
        <w:gridCol w:w="109"/>
        <w:gridCol w:w="1528"/>
        <w:gridCol w:w="1528"/>
        <w:gridCol w:w="1543"/>
        <w:gridCol w:w="109"/>
        <w:gridCol w:w="109"/>
        <w:gridCol w:w="109"/>
        <w:gridCol w:w="644"/>
        <w:gridCol w:w="581"/>
        <w:gridCol w:w="805"/>
      </w:tblGrid>
      <w:tr>
        <w:trPr/>
        <w:tc>
          <w:tcPr>
            <w:tcW w:w="60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Business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Lease Expirations</w:t>
            </w:r>
          </w:p>
        </w:tc>
      </w:tr>
      <w:tr>
        <w:trPr/>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699,324 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development, marketing, customer service, manufacturing,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2026 - January 2036</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748,299 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development, marketing, customer service, manufacturing,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2026 - March 2046</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681,075 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development, marketing, customer service, manufacturing,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2026 - June 2034</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736,467 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customer service, manufacturing,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2027 - December 2037</w:t>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development, marketing, customer service, manufacturing,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2026 - June 2035</w:t>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Many of our leased properties are utilized by multiple business segments, but each have been assigned to the segment that occupies the majority of our leased space.</w:t>
      </w:r>
    </w:p>
    <w:p>
      <w:pPr>
        <w:pStyle w:val="TextBody"/>
        <w:bidi w:val="0"/>
        <w:spacing w:before="100" w:after="283"/>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believe that the total space available to us in the facilities we own or lease, and space that is obtainable by us on commercially reasonable terms, will meet our needs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3. </w:t>
      </w:r>
      <w:r>
        <w:rPr>
          <w:rFonts w:ascii="Arial;sans-serif" w:hAnsi="Arial;sans-serif"/>
          <w:b/>
          <w:i/>
          <w:color w:val="000000"/>
          <w:sz w:val="20"/>
        </w:rPr>
        <w:t>Legal Proceedings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information set forth in Item 8 of Part II, “Financial Statements and Supplementary Data — Note 17 — Commitments and Contingencies,” in the accompanying notes to the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4. </w:t>
      </w:r>
      <w:r>
        <w:rPr>
          <w:rFonts w:ascii="Arial;sans-serif" w:hAnsi="Arial;sans-serif"/>
          <w:b/>
          <w:i/>
          <w:color w:val="000000"/>
          <w:sz w:val="20"/>
        </w:rPr>
        <w:t>Mine Safety Disclosure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Item 5. </w:t>
      </w:r>
      <w:r>
        <w:rPr>
          <w:rFonts w:ascii="Arial;sans-serif" w:hAnsi="Arial;sans-serif"/>
          <w:b/>
          <w:i/>
          <w:color w:val="000000"/>
          <w:sz w:val="20"/>
        </w:rPr>
        <w:t>Market for Registrant’s Common Equity, Related Stockholder Matters and Issuer Purchases of Equity Securities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The ordinary shares of Cimpress plc are traded on the Nasdaq Global Select Market (the "Nasdaq") under the symbol “CMPR.” As of July 31, 2026, there were six holders of record of our ordinary shares, although there is a much larger number of beneficial owners.</w:t>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Dividends and Repurchases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never paid or declared any cash dividends on our ordinary shares, and we do not anticipate paying any cash dividends in the foreseeable future.</w:t>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Issuer Purchases of Equity Securities</w:t>
      </w:r>
    </w:p>
    <w:p>
      <w:pPr>
        <w:pStyle w:val="TextBody"/>
        <w:bidi w:val="0"/>
        <w:spacing w:lineRule="auto" w:line="25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March 25, 2026, our Board authorized the repurchase, from time to time, with no expiration date, of up to $200 million aggregate purchase price (excluding any fees, commissions, or other expenses of such purchases) of Cimpress' issued and outstanding ordinary shares on the open market, through privately negotiated transactions, or in one or more self-tender offers. The Board’s authorization does not necessarily mean that we will repurchase the full dollar amount authorized. Share repurchases remain subject to Cimpress’ net leverage and capital allocation priorities and may be suspended or discontinued at any time.</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did not repurchase any of our ordinary shares during the three months ended June 30, 2026 under the program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 xml:space="preserve">Performance Graph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graph compares the cumulative total return to shareholders of Cimpress plc ordinary shares relative to the cumulative total returns of the Nasdaq Composite index and the Research Data Group (RDG) Internet Composite index. An investment of $100 (with reinvestment of all dividends) is assumed to have been made in our ordinary shares and in each of the indexes on June 30, 2021 and the relative performance of each investment is tracked through June 30, 2026.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COMPARISON OF 5 YEAR CUMULATIVE TOTAL RETURN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Among Cimpress plc, the Nasdaq Composite Index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and the RDG Internet Composite Index</w:t>
      </w:r>
    </w:p>
    <w:p>
      <w:pPr>
        <w:pStyle w:val="TextBody"/>
        <w:bidi w:val="0"/>
        <w:spacing w:before="0" w:after="0"/>
        <w:jc w:val="center"/>
        <w:rPr/>
      </w:pPr>
      <w:r>
        <w:rPr/>
      </w:r>
    </w:p>
    <w:p>
      <w:pPr>
        <w:pStyle w:val="TextBody"/>
        <w:bidi w:val="0"/>
        <w:spacing w:before="0" w:after="0"/>
        <w:jc w:val="center"/>
        <w:rPr/>
      </w:pPr>
      <w:r>
        <w:rPr/>
        <w:drawing>
          <wp:inline distT="0" distB="0" distL="0" distR="0">
            <wp:extent cx="5924550" cy="31051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5924550" cy="3105150"/>
                    </a:xfrm>
                    <a:prstGeom prst="rect">
                      <a:avLst/>
                    </a:prstGeom>
                  </pic:spPr>
                </pic:pic>
              </a:graphicData>
            </a:graphic>
          </wp:inline>
        </w:drawing>
      </w:r>
      <w:bookmarkStart w:id="14" w:name="i-15"/>
      <w:bookmarkEnd w:id="14"/>
    </w:p>
    <w:tbl>
      <w:tblPr>
        <w:tblW w:w="9515" w:type="dxa"/>
        <w:jc w:val="center"/>
        <w:tblInd w:w="0" w:type="dxa"/>
        <w:tblLayout w:type="fixed"/>
        <w:tblCellMar>
          <w:top w:w="28" w:type="dxa"/>
          <w:left w:w="28" w:type="dxa"/>
          <w:bottom w:w="28" w:type="dxa"/>
          <w:right w:w="28" w:type="dxa"/>
        </w:tblCellMar>
      </w:tblPr>
      <w:tblGrid>
        <w:gridCol w:w="765"/>
        <w:gridCol w:w="674"/>
        <w:gridCol w:w="67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plc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Nasdaq Composite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RDG Internet Composite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The share price performance included in this graph is not necessarily indicative of future share price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6. </w:t>
      </w:r>
      <w:r>
        <w:rPr>
          <w:rFonts w:ascii="Arial;sans-serif" w:hAnsi="Arial;sans-serif"/>
          <w:b/>
          <w:i/>
          <w:color w:val="000000"/>
          <w:sz w:val="20"/>
        </w:rPr>
        <w:t>[Reserved]</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00" w:after="1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00"/>
        <w:jc w:val="left"/>
        <w:rPr/>
      </w:pPr>
      <w:r>
        <w:rPr>
          <w:rFonts w:ascii="Arial;sans-serif" w:hAnsi="Arial;sans-serif"/>
          <w:b/>
          <w:color w:val="000000"/>
          <w:sz w:val="20"/>
        </w:rPr>
        <w:t xml:space="preserve">Item 7.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80" w:after="283"/>
        <w:ind w:left="0" w:right="0" w:firstLine="720"/>
        <w:jc w:val="left"/>
        <w:rPr>
          <w:rFonts w:ascii="Arial;sans-serif" w:hAnsi="Arial;sans-serif"/>
          <w:b w:val="false"/>
          <w:i/>
          <w:color w:val="000000"/>
          <w:sz w:val="20"/>
        </w:rPr>
      </w:pPr>
      <w:r>
        <w:rPr>
          <w:rFonts w:ascii="Arial;sans-serif" w:hAnsi="Arial;sans-serif"/>
          <w:b w:val="false"/>
          <w:i/>
          <w:color w:val="000000"/>
          <w:sz w:val="20"/>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fluctuating inflation; our inability to make investments in our business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or in the enforcement or interpretation of governmental policies, laws and regulations, that affect our businesses,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this Report and the documents that we periodically file with the SEC. The Business section of this Report also contains estimates and other statistical data from research we conducted in August 2022 with a third-party research firm, and this data involves a number of assumptions and limitations and contains projections and estimates of the sizes of the opportunities of our markets that are subject to a high degree of uncertainty and should not be given undue weight.</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Executive Overview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Cimpress helps millions of businesses build brands, stand out, and grow via customized physical marketing products and branded merchandise. Cimpress is the global leader in web-to-print mass customization, delivering high-quality, affordable custom products quickly and conveniently—even in low quantities.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have numerous operating segments under our management reporting structure that are reported in the following five reportable segments: VistaPrint, PrintBrothers, The Print Group, National Pen, and All Other Businesses. For purposes of measuring and reporting our segment financial performance, we made updates to our previously implemented methodology for inter-segment transactions during the first quarter of fiscal 2026. These transactions occur when one Cimpress business buys from or sells to another Cimpress business. Under the updated methodology, a merchant business (the buyer) is cross charged the variable cost of fulfillment that includes labor, materials and shipping costs, which excludes the previously included overhead allocation. We also updated our internal organizational structure, which included the transfer of two teams from our VistaPrint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15 in our accompanying consolidated financial statements for additional information relating to our reportable segments and our segment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Financial Summary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net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year ended June 30, 2026 as compared to the year ended June 30, 2025 follows: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Fiscal Year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Revenue increased by 10% to $3,736.6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Organic constant-currency revenue growth (a non-GAAP financial measure) was 4%.</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Operating income increased by $24.8 million to $251.0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increased by $84.3 million to $97.1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EBITDA (a non-GAAP financial measure) increased by $25.3 million to $458.5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Diluted net income per share attributable to Cimpress plc increased by $3.21 to $3.79.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Cash provided by operating activities decreased by $14.4 million to $283.7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free cash flow (a non-GAAP financial measure) decreased by $25.6 million to $122.4 million.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the increase in reported consolidated revenue was driven by external revenue growth across all of our reportable segments, as well as currency benefits and the addition of revenue from recent tuck-in acquisitions in our PrintBrothers and The Print Group reportable segments. The largest contributor of the organic constant-currency revenue growth was our VistaPrint business, driven by growth across all regions. Revenue growth continued to be strong across our assortment of elevated products.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increase to operating income of $24.8 million during the year ended June 30, 2026, was primarily driven by organic gross profit growth due to the revenue growth discussed above, cost improvements, and benefits from currency. Gross profit grew despite $13.8 million of additional costs from investments in the expansion of our North America production network that include start-up costs, the reversal of Canadian duty drawback receivables of $4.7 million following unfavorable trade rulings, and inventory write downs of $1.8 million, partially offset by the benefit from U.S. tariff refunds of $6.9 million that were recognized during the fourth quarter of the current fiscal year. This gross profit growth was partially offset by increases in advertising costs and operating expenses during the year ended June 30, 2026.</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Net income increased $84.3 million during the year ended June 30, 2026, as compared to the prior fiscal year. The net income increase was driven by the operating income growth described above, as well as higher unrealized hedging gains and lower interest and income tax expenses.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EBITDA increased by $25.3 million during the year ended June 30, 2026, for similar reasons as the increase in operating income as described above, as well as $10.1 million in year-over-year currency benefits. Tuck-in acquisitions within the PrintBrothers and The Print Group reportable segments contributed $1.4 million to adjusted EBITDA, net of transaction-related costs, for the year ended June 30, 2026. </w:t>
      </w:r>
    </w:p>
    <w:p>
      <w:pPr>
        <w:pStyle w:val="TextBody"/>
        <w:bidi w:val="0"/>
        <w:spacing w:lineRule="auto" w:line="288" w:before="100" w:after="100"/>
        <w:ind w:left="0" w:right="0" w:firstLine="720"/>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year ended June 30, 2026</w:t>
      </w:r>
      <w:r>
        <w:rPr>
          <w:rFonts w:ascii="Arial;sans-serif" w:hAnsi="Arial;sans-serif"/>
          <w:b w:val="false"/>
          <w:color w:val="000000"/>
          <w:sz w:val="20"/>
          <w:shd w:fill="FFFFFF" w:val="clear"/>
        </w:rPr>
        <w:t xml:space="preserve">, cash from operations </w:t>
      </w:r>
      <w:r>
        <w:rPr>
          <w:rFonts w:ascii="Arial;sans-serif" w:hAnsi="Arial;sans-serif"/>
          <w:b w:val="false"/>
          <w:color w:val="000000"/>
          <w:sz w:val="20"/>
        </w:rPr>
        <w:t>decreased</w:t>
      </w:r>
      <w:r>
        <w:rPr>
          <w:color w:val="000000"/>
          <w:shd w:fill="FFFFFF" w:val="clear"/>
        </w:rPr>
        <w:t xml:space="preserve"> </w:t>
      </w:r>
      <w:r>
        <w:rPr>
          <w:rFonts w:ascii="Arial;sans-serif" w:hAnsi="Arial;sans-serif"/>
          <w:b w:val="false"/>
          <w:color w:val="000000"/>
          <w:sz w:val="20"/>
          <w:shd w:fill="FFFFFF" w:val="clear"/>
        </w:rPr>
        <w:t xml:space="preserve">$14.4 million year over year, driven by an increase in cash tax payments of </w:t>
      </w:r>
      <w:r>
        <w:rPr>
          <w:rFonts w:ascii="Arial;sans-serif" w:hAnsi="Arial;sans-serif"/>
          <w:b w:val="false"/>
          <w:color w:val="000000"/>
          <w:sz w:val="20"/>
        </w:rPr>
        <w:t>$25.4 million</w:t>
      </w:r>
      <w:r>
        <w:rPr>
          <w:rFonts w:ascii="Arial;sans-serif" w:hAnsi="Arial;sans-serif"/>
          <w:b w:val="false"/>
          <w:color w:val="000000"/>
          <w:sz w:val="20"/>
          <w:shd w:fill="FFFFFF" w:val="clear"/>
        </w:rPr>
        <w:t xml:space="preserve">, as well as a less favorable change in net working capital year over year that was influenced by increases in inventory and timing items, and an increase in restructuring payments of </w:t>
      </w:r>
      <w:r>
        <w:rPr>
          <w:rFonts w:ascii="Arial;sans-serif" w:hAnsi="Arial;sans-serif"/>
          <w:b w:val="false"/>
          <w:color w:val="000000"/>
          <w:sz w:val="20"/>
        </w:rPr>
        <w:t>$5.2 million</w:t>
      </w:r>
      <w:r>
        <w:rPr>
          <w:rFonts w:ascii="Arial;sans-serif" w:hAnsi="Arial;sans-serif"/>
          <w:b w:val="false"/>
          <w:color w:val="000000"/>
          <w:sz w:val="20"/>
          <w:shd w:fill="FFFFFF" w:val="clear"/>
        </w:rPr>
        <w:t>. These items were partially offset by the net income increase described above.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decreased by $25.6 million for the year ended June 30, 2026, primarily driven by the decrease in cash flow from operations as described above. Adjusted free cash flow was also impacted by a $11.2 million increase in capital expenditures mainly driven by the expansion of our North America production network, and a $3.0 million increase in capitalized software and website development costs, primarily driven by investments in our mass customization platform and related technology enhancements.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Refer to the "Additional Non-GAAP Financial Measures" section of Management's Discussion and Analysis for the reconciliation of our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U.S. Tariffs</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The U.S. tariff environment remains volatile. Cimpress businesses operate in the U.S., and we maintain fulfillment operations for U.S. customers in multiple locations across the U.S., Canada, and Mexico. On February 20, 2026, the U.S. Supreme Court invalidated using the International Emergency Economic Powers Act (IEEPA) as a basis to impose the broad tariffs that had been in place since May 2025. Following this ruling, the IEEPA-based invalidated duties were replaced, effective February 24, 2026, with a 10% global tariff under Section 122 of the Trade Act of 1974. By statute, this Section 122 surcharge expired on July 24, 2026. On July 24, 2026, the U.S. government implemented broad-based Section 301 tariffs of 10% to 12.5% that replaced the 10% global rate that expired the same day. Also, a 50% tariff on certain Canadian goods under Section 338 was announced to take effect on August 19, 2026. Our initial assessment is that these would affect a small portion of products fulfilled in Canada for U.S. customers, and we are actively operationalizing supply chain and fulfillment adjustments to mitigate a substantial portion of any prospective cost impact.</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The primary impact of tariffs on Cimpress continues to be for promotional products that we source from China and several other countries. To date, we have continued to minimize most impacts through supply chain optimization and pricing changes.</w:t>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Following the invalidation of the IEEPA-based tariffs, the U.S. Court of International Trade ordered the U.S. government to establish a process for refunding these invalidated duties. As the importer of record for various impacted goods, we submitted refund requests through the U.S. Customs portal for most eligible Phase 1 IEEPA tariffs paid, and the majority of our requests have been accepted. During the fourth quarter of fiscal year 2026, we recognized a benefit within cost of revenue in the amount of $6.9 million, which included all submitted and accepted Phase 1 IEEPA tariff refunds. We are pursuing all available avenues for reimbursement for additional claims outside of the Phase 1 application process. On June 29, 2026, the Phase 2 application process opened and we have filed for approximately $10 million in refunds. We have not recognized any benefit for Phase 2 refund claims, since the acceptance and timing of the recovery of those claims remain uncertain.</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Consolidated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businesses generate revenue primarily from the sale and shipment of customized products. We also generate revenue, to a much lesser extent (and primarily in our VistaPrint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Total revenue and revenue growth by reportable segment for the years ended June 30, 2026, 2025, and 2024 are shown in the following tables. The revenue by reportable segment includes inter-segment transactions, which is when one Cimpress business chooses to buy from or sell to another Cimpress business that is part of a different reportable segment. These transactions are eliminated in the inter-segment elimination line in the tables below.</w:t>
      </w:r>
    </w:p>
    <w:tbl>
      <w:tblPr>
        <w:tblW w:w="10205" w:type="dxa"/>
        <w:jc w:val="left"/>
        <w:tblInd w:w="0" w:type="dxa"/>
        <w:tblLayout w:type="fixed"/>
        <w:tblCellMar>
          <w:top w:w="28" w:type="dxa"/>
          <w:left w:w="28" w:type="dxa"/>
          <w:bottom w:w="28" w:type="dxa"/>
          <w:right w:w="28" w:type="dxa"/>
        </w:tblCellMar>
      </w:tblPr>
      <w:tblGrid>
        <w:gridCol w:w="500"/>
        <w:gridCol w:w="389"/>
        <w:gridCol w:w="393"/>
        <w:gridCol w:w="211"/>
        <w:gridCol w:w="976"/>
        <w:gridCol w:w="109"/>
        <w:gridCol w:w="109"/>
        <w:gridCol w:w="109"/>
        <w:gridCol w:w="109"/>
        <w:gridCol w:w="211"/>
        <w:gridCol w:w="976"/>
        <w:gridCol w:w="109"/>
        <w:gridCol w:w="109"/>
        <w:gridCol w:w="109"/>
        <w:gridCol w:w="109"/>
        <w:gridCol w:w="205"/>
        <w:gridCol w:w="205"/>
        <w:gridCol w:w="206"/>
        <w:gridCol w:w="109"/>
        <w:gridCol w:w="109"/>
        <w:gridCol w:w="109"/>
        <w:gridCol w:w="312"/>
        <w:gridCol w:w="312"/>
        <w:gridCol w:w="316"/>
        <w:gridCol w:w="109"/>
        <w:gridCol w:w="109"/>
        <w:gridCol w:w="109"/>
        <w:gridCol w:w="251"/>
        <w:gridCol w:w="251"/>
        <w:gridCol w:w="255"/>
        <w:gridCol w:w="109"/>
        <w:gridCol w:w="109"/>
        <w:gridCol w:w="109"/>
        <w:gridCol w:w="332"/>
        <w:gridCol w:w="332"/>
        <w:gridCol w:w="333"/>
        <w:gridCol w:w="109"/>
        <w:gridCol w:w="109"/>
        <w:gridCol w:w="109"/>
        <w:gridCol w:w="471"/>
        <w:gridCol w:w="240"/>
        <w:gridCol w:w="348"/>
      </w:tblGrid>
      <w:tr>
        <w:trPr/>
        <w:tc>
          <w:tcPr>
            <w:tcW w:w="5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Revenue Growth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Excluding Acquisitions/Divestitures (3)</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VistaPrint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0"/>
        <w:gridCol w:w="389"/>
        <w:gridCol w:w="393"/>
        <w:gridCol w:w="211"/>
        <w:gridCol w:w="976"/>
        <w:gridCol w:w="109"/>
        <w:gridCol w:w="109"/>
        <w:gridCol w:w="109"/>
        <w:gridCol w:w="109"/>
        <w:gridCol w:w="211"/>
        <w:gridCol w:w="976"/>
        <w:gridCol w:w="109"/>
        <w:gridCol w:w="109"/>
        <w:gridCol w:w="109"/>
        <w:gridCol w:w="109"/>
        <w:gridCol w:w="205"/>
        <w:gridCol w:w="205"/>
        <w:gridCol w:w="206"/>
        <w:gridCol w:w="109"/>
        <w:gridCol w:w="109"/>
        <w:gridCol w:w="109"/>
        <w:gridCol w:w="312"/>
        <w:gridCol w:w="312"/>
        <w:gridCol w:w="316"/>
        <w:gridCol w:w="109"/>
        <w:gridCol w:w="109"/>
        <w:gridCol w:w="109"/>
        <w:gridCol w:w="251"/>
        <w:gridCol w:w="251"/>
        <w:gridCol w:w="255"/>
        <w:gridCol w:w="109"/>
        <w:gridCol w:w="109"/>
        <w:gridCol w:w="109"/>
        <w:gridCol w:w="332"/>
        <w:gridCol w:w="332"/>
        <w:gridCol w:w="333"/>
        <w:gridCol w:w="109"/>
        <w:gridCol w:w="109"/>
        <w:gridCol w:w="109"/>
        <w:gridCol w:w="471"/>
        <w:gridCol w:w="240"/>
        <w:gridCol w:w="348"/>
      </w:tblGrid>
      <w:tr>
        <w:trPr/>
        <w:tc>
          <w:tcPr>
            <w:tcW w:w="5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Revenue Growth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Excluding Acquisitions/Divestitures (3)</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VistaPrint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Note 15 of the accompanying consolidated financial statements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Constant-currency revenue growth, a non-GAAP financial measure, represents the change in total revenue between current and prior-year periods at constant-currency exchange rates by translating all non-U.S. dollar denominated revenue generated in the current period using the prior-year period’s average exchange rate for each currency to the U.S. dollar. Our reportable segments-related growth is inclusive of inter-segment revenues, which are eliminated in our consolidated results.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pStyle w:val="TextBody"/>
        <w:bidi w:val="0"/>
        <w:spacing w:lineRule="auto" w:line="288" w:before="100" w:after="100"/>
        <w:jc w:val="left"/>
        <w:rPr>
          <w:rFonts w:ascii="Arial;sans-serif" w:hAnsi="Arial;sans-serif"/>
          <w:b w:val="false"/>
          <w:color w:val="000000"/>
          <w:sz w:val="16"/>
        </w:rPr>
      </w:pPr>
      <w:r>
        <w:rPr>
          <w:rFonts w:ascii="Arial;sans-serif" w:hAnsi="Arial;sans-serif"/>
          <w:b w:val="false"/>
          <w:color w:val="000000"/>
          <w:sz w:val="16"/>
        </w:rPr>
        <w:t xml:space="preserve">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 </w:t>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the reported revenue growth of $333.6 million was primarily driven by revenue growth in our VistaPrint and PrintBrothers reportable segments. Revenue was positively impacted by $126.2 million from currency exchange rate fluctuations, and $68.3 million from the addition of revenue from recently acquired businesses as compared to the prior fiscal year. Excluding the effect of changes in currency exchange rates, acquisitions, and inter-segment revenue, the largest increase in revenue was from our VistaPrint business with an increase of $69.1 million for the year ended June 30, 2026. VistaPrint revenue was higher year over year across all regions, with strong growth in elevated products. Our PrintBrothers reportable segment also contributed $38.4 million of increased revenue for the year ended June 30, 2026, excluding the effect of changes in currency exchange rates, acquisitions, and inter-segment revenue, partly driven by new customer and order volume growth.</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additional discussion relating to segment revenue results, refer to the "Reportable Segment Results" section included below.</w:t>
      </w:r>
    </w:p>
    <w:p>
      <w:pPr>
        <w:pStyle w:val="TextBody"/>
        <w:bidi w:val="0"/>
        <w:spacing w:lineRule="auto" w:line="288" w:before="200" w:after="200"/>
        <w:ind w:left="0" w:right="0" w:hanging="270"/>
        <w:jc w:val="left"/>
        <w:rPr>
          <w:rFonts w:ascii="Arial;sans-serif" w:hAnsi="Arial;sans-serif"/>
          <w:b/>
          <w:i/>
          <w:color w:val="000000"/>
          <w:sz w:val="20"/>
        </w:rPr>
      </w:pPr>
      <w:r>
        <w:rPr>
          <w:rFonts w:ascii="Arial;sans-serif" w:hAnsi="Arial;sans-serif"/>
          <w:b/>
          <w:i/>
          <w:color w:val="000000"/>
          <w:sz w:val="20"/>
        </w:rPr>
        <w:t>Consolidated Cost of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tbl>
      <w:tblPr>
        <w:tblW w:w="6993" w:type="dxa"/>
        <w:jc w:val="center"/>
        <w:tblInd w:w="0" w:type="dxa"/>
        <w:tblLayout w:type="fixed"/>
        <w:tblCellMar>
          <w:top w:w="28" w:type="dxa"/>
          <w:left w:w="28" w:type="dxa"/>
          <w:bottom w:w="28" w:type="dxa"/>
          <w:right w:w="28" w:type="dxa"/>
        </w:tblCellMar>
      </w:tblPr>
      <w:tblGrid>
        <w:gridCol w:w="537"/>
        <w:gridCol w:w="473"/>
        <w:gridCol w:w="474"/>
        <w:gridCol w:w="109"/>
        <w:gridCol w:w="109"/>
        <w:gridCol w:w="109"/>
        <w:gridCol w:w="109"/>
        <w:gridCol w:w="211"/>
        <w:gridCol w:w="976"/>
        <w:gridCol w:w="271"/>
        <w:gridCol w:w="109"/>
        <w:gridCol w:w="109"/>
        <w:gridCol w:w="109"/>
        <w:gridCol w:w="211"/>
        <w:gridCol w:w="976"/>
        <w:gridCol w:w="271"/>
        <w:gridCol w:w="109"/>
        <w:gridCol w:w="109"/>
        <w:gridCol w:w="109"/>
        <w:gridCol w:w="211"/>
        <w:gridCol w:w="976"/>
        <w:gridCol w:w="316"/>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830"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2,006,941 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1,785,635 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1,695,062 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00" w:after="100"/>
        <w:ind w:left="0" w:right="0" w:firstLine="720"/>
        <w:jc w:val="left"/>
        <w:rPr/>
      </w:pPr>
      <w:r>
        <w:rPr>
          <w:rFonts w:ascii="Arial;sans-serif" w:hAnsi="Arial;sans-serif"/>
          <w:b w:val="false"/>
          <w:color w:val="000000"/>
          <w:sz w:val="20"/>
        </w:rPr>
        <w:t>For the year ended June 30, 2026, year-over-year cost of revenue increased by $221.3 million and included $78.8 million of impact from currency exchange rate fluctuations. The increase in cost of revenue includes higher third-party fulfillment costs of $66.7 million, higher internal manufacturing costs of $47.1 million, and higher shipping costs of $19.8 million primarily driven by volume-related increases and product mix shifts, as well as start-up costs from the expansion of our North American production network as described above. Cost of revenue was also impacted by costs from our recent tuck-in acquisitions of $41.9 million,</w:t>
      </w:r>
      <w:r>
        <w:rPr>
          <w:color w:val="EE2724"/>
        </w:rPr>
        <w:t xml:space="preserve"> </w:t>
      </w:r>
      <w:r>
        <w:rPr>
          <w:rFonts w:ascii="Arial;sans-serif" w:hAnsi="Arial;sans-serif"/>
          <w:b w:val="false"/>
          <w:color w:val="000000"/>
          <w:sz w:val="20"/>
        </w:rPr>
        <w:t xml:space="preserve">the write off of Canadian duty drawback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receivables of $4.7 million that are no longer collectible due to a recent change in customs rulings in our VistaPrint business, inventory write downs of $1.8 million, and tariff-related cost increases in the U.S., which were more pronounced during the first half of the fiscal year and have largely been offset by price increases.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These increases were partially offset by a tariff refund benefit of $6.9 million related to accepted Phase 1 IEEPA tariffs that were recognized during the fourth quarter of fiscal year 2026. We have not recognized any benefit for Phase 2 refund IEEPA tariff claims, since the acceptance and timing of the recovery of those claims remain uncertain, however we have submitted approximately $10 million in claims.</w:t>
      </w:r>
    </w:p>
    <w:p>
      <w:pPr>
        <w:pStyle w:val="TextBody"/>
        <w:bidi w:val="0"/>
        <w:spacing w:lineRule="auto" w:line="288" w:before="200" w:after="200"/>
        <w:ind w:left="0" w:right="0" w:hanging="270"/>
        <w:jc w:val="left"/>
        <w:rPr>
          <w:rFonts w:ascii="Arial;sans-serif" w:hAnsi="Arial;sans-serif"/>
          <w:b/>
          <w:i/>
          <w:color w:val="000000"/>
          <w:sz w:val="20"/>
        </w:rPr>
      </w:pPr>
      <w:r>
        <w:rPr>
          <w:rFonts w:ascii="Arial;sans-serif" w:hAnsi="Arial;sans-serif"/>
          <w:b/>
          <w:i/>
          <w:color w:val="000000"/>
          <w:sz w:val="20"/>
        </w:rPr>
        <w:t>Consolidated Operating Expenses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comparative operating expenses for the following periods:</w:t>
      </w:r>
    </w:p>
    <w:tbl>
      <w:tblPr>
        <w:tblW w:w="9215" w:type="dxa"/>
        <w:jc w:val="left"/>
        <w:tblInd w:w="0" w:type="dxa"/>
        <w:tblLayout w:type="fixed"/>
        <w:tblCellMar>
          <w:top w:w="28" w:type="dxa"/>
          <w:left w:w="28" w:type="dxa"/>
          <w:bottom w:w="28" w:type="dxa"/>
          <w:right w:w="28" w:type="dxa"/>
        </w:tblCellMar>
      </w:tblPr>
      <w:tblGrid>
        <w:gridCol w:w="1345"/>
        <w:gridCol w:w="1184"/>
        <w:gridCol w:w="1191"/>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Technology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321,968 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Marketing and selling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Restructuring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Refer to Note 18 in our accompanying consolidated financial statements for additional details relating to restructuring expense.</w:t>
      </w:r>
    </w:p>
    <w:p>
      <w:pPr>
        <w:pStyle w:val="TextBody"/>
        <w:bidi w:val="0"/>
        <w:spacing w:lineRule="auto" w:line="288" w:before="200" w:after="200"/>
        <w:ind w:left="0" w:right="0" w:hanging="270"/>
        <w:jc w:val="left"/>
        <w:rPr>
          <w:rFonts w:ascii="Arial;sans-serif" w:hAnsi="Arial;sans-serif"/>
          <w:b w:val="false"/>
          <w:i/>
          <w:color w:val="000000"/>
          <w:sz w:val="20"/>
        </w:rPr>
      </w:pPr>
      <w:r>
        <w:rPr>
          <w:rFonts w:ascii="Arial;sans-serif" w:hAnsi="Arial;sans-serif"/>
          <w:b w:val="false"/>
          <w:i/>
          <w:color w:val="000000"/>
          <w:sz w:val="20"/>
        </w:rPr>
        <w:t>Technology and development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 primarily consists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year-over-year technology and development expense increased by $18.5 million primarily driven by higher year-over-year cash compensation costs of $8.1 million due in part by our annual merit cycle and to a lesser extent the addition of cash compensation costs from our recently acquired businesses. Third-party technology costs increased $7.1 million, primarily driven by growth in business volume. Amortization of capitalized software increased year over year by $3.4 million due to continued investment in technology capabilities across many of our businesses.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Marketing and selling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Marketing and selling expense primarily consists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PrintBrothers and The Print Group businesses due to differences in the customers that they serve.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year-over-year marketing and selling expenses increased by $56.8 million partly due to higher year-over-year advertising spend of $21.4 million largely due to volume-driven increases, as well as targeted advertising investments in certain businesses. Despite those increases, advertising expense as a percentage of revenue was lower year over year. In addition, the marketing and selling expense increases reflected higher cash compensation costs of $16.4 million driven in part by our annual merit cycle and targeted areas of hiring that are driven in part by volume-related increases in our customer service operations, and the addition of $7.7 million of cash compensation costs from our recently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primarily consists of transaction costs, including third-party professional fees, insurance, and payroll and related expenses of employees involved in executive management, finance, legal, strategy, human resources, and procurement.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year-over-year general and administrative expenses increased by $16.8 million driven by higher year-over-year cash compensation costs of $10.2 million due in part from our annual merit cycle, and the addition of $3.1 million of cash compensation costs from our recently acquired businesses. Professional service fees increased $5.9 million, driven in part by acquisition-related transaction costs of $1.8 million. These increases were partially offset by lower long-term incentive cash compensation costs of $1.2 million due to changes in the estimated payout for certain businesses. Two discrete items also impacted the increase year over year: a benefit from the non-recurrence of a $2.9 million charge recognized in fiscal year 2025 for a land duty tax that we continue to contest in Australia related to our 2019 redomiciliation to Ireland, and a partially offsetting $2.7 million of sales tax reserves recognized in fiscal year 2026.</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Other Consolidated Results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income (expense), net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 the benefits of hedge accounting relative to the additional economic cost of trade execution and administrative burden. Based on this analysis, we execute certain currency derivative contracts that do not qualify for hedge accounting.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components of other income (expense), net: </w:t>
      </w:r>
    </w:p>
    <w:tbl>
      <w:tblPr>
        <w:tblW w:w="9913" w:type="dxa"/>
        <w:jc w:val="center"/>
        <w:tblInd w:w="0" w:type="dxa"/>
        <w:tblLayout w:type="fixed"/>
        <w:tblCellMar>
          <w:top w:w="28" w:type="dxa"/>
          <w:left w:w="28" w:type="dxa"/>
          <w:bottom w:w="28" w:type="dxa"/>
          <w:right w:w="28" w:type="dxa"/>
        </w:tblCellMar>
      </w:tblPr>
      <w:tblGrid>
        <w:gridCol w:w="2057"/>
        <w:gridCol w:w="1812"/>
        <w:gridCol w:w="1816"/>
        <w:gridCol w:w="109"/>
        <w:gridCol w:w="109"/>
        <w:gridCol w:w="109"/>
        <w:gridCol w:w="109"/>
        <w:gridCol w:w="211"/>
        <w:gridCol w:w="721"/>
        <w:gridCol w:w="109"/>
        <w:gridCol w:w="109"/>
        <w:gridCol w:w="109"/>
        <w:gridCol w:w="109"/>
        <w:gridCol w:w="211"/>
        <w:gridCol w:w="796"/>
        <w:gridCol w:w="109"/>
        <w:gridCol w:w="109"/>
        <w:gridCol w:w="109"/>
        <w:gridCol w:w="109"/>
        <w:gridCol w:w="211"/>
        <w:gridCol w:w="616"/>
        <w:gridCol w:w="154"/>
      </w:tblGrid>
      <w:tr>
        <w:trPr/>
        <w:tc>
          <w:tcPr>
            <w:tcW w:w="205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308" w:type="dxa"/>
            <w:gridSpan w:val="6"/>
            <w:tcBorders/>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derivatives not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Currency-related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year-over-year changes in other income (expense), net were primarily due to the currency exchange rate volatility impacting our derivatives that are not designated as hedging instruments, of which our Euro and GBP contracts are the most significant exposures that we economically hedge. For fiscal year 2026, increases in unrealized gains on derivatives not designated as hedging instruments were offset in part by $10.2 million of higher realized losses recognized during the current fiscal year. We expect volatility to continue in future periods, as we do not apply hedge accounting for most of our derivative currency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experience currency-related net gains and losses due to currency exchange rate volatility on our non-functional currency intercompany relationships, which we may alter from time to time.</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the year-over-year interest expense, net decreased $9.5 million primarily due to a lower weighted-average interest rate (net of interest rate swaps) on our senior secured term loan partly from our repricing action in December 2024 that reduced the credit spread on our outstanding debt, as well as year over year reductions in our benchmark rate, term SOFR.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Income tax expense</w:t>
      </w:r>
    </w:p>
    <w:tbl>
      <w:tblPr>
        <w:tblW w:w="7293" w:type="dxa"/>
        <w:jc w:val="center"/>
        <w:tblInd w:w="0" w:type="dxa"/>
        <w:tblLayout w:type="fixed"/>
        <w:tblCellMar>
          <w:top w:w="28" w:type="dxa"/>
          <w:left w:w="28" w:type="dxa"/>
          <w:bottom w:w="28" w:type="dxa"/>
          <w:right w:w="28" w:type="dxa"/>
        </w:tblCellMar>
      </w:tblPr>
      <w:tblGrid>
        <w:gridCol w:w="896"/>
        <w:gridCol w:w="788"/>
        <w:gridCol w:w="790"/>
        <w:gridCol w:w="109"/>
        <w:gridCol w:w="109"/>
        <w:gridCol w:w="109"/>
        <w:gridCol w:w="109"/>
        <w:gridCol w:w="211"/>
        <w:gridCol w:w="721"/>
        <w:gridCol w:w="271"/>
        <w:gridCol w:w="109"/>
        <w:gridCol w:w="109"/>
        <w:gridCol w:w="109"/>
        <w:gridCol w:w="211"/>
        <w:gridCol w:w="721"/>
        <w:gridCol w:w="271"/>
        <w:gridCol w:w="109"/>
        <w:gridCol w:w="109"/>
        <w:gridCol w:w="109"/>
        <w:gridCol w:w="211"/>
        <w:gridCol w:w="796"/>
        <w:gridCol w:w="316"/>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650" w:type="dxa"/>
            <w:gridSpan w:val="6"/>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(49,362)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36.5 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(38.4)</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year ended June 30, 2026, income tax expense decreased compared to the prior fiscal year primarily due to expense recognized in fiscal year 2025 driven by an increase in the Swiss valuation allowance. Additionally, we had reduced losses year-over-year in certain jurisdictions for which we cannot recognize a tax benefit that also contributed to the decreased effective tax rate.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13 in our accompanying consolidated financial statements for additional details.</w:t>
      </w:r>
    </w:p>
    <w:p>
      <w:pPr>
        <w:pStyle w:val="TextBody"/>
        <w:bidi w:val="0"/>
        <w:spacing w:lineRule="auto" w:line="288" w:before="200" w:after="200"/>
        <w:jc w:val="left"/>
        <w:rPr>
          <w:rFonts w:ascii="Arial;sans-serif" w:hAnsi="Arial;sans-serif"/>
          <w:b/>
          <w:color w:val="000000"/>
          <w:sz w:val="20"/>
          <w:shd w:fill="FFFFFF" w:val="clear"/>
        </w:rPr>
      </w:pPr>
      <w:r>
        <w:rPr>
          <w:rFonts w:ascii="Arial;sans-serif" w:hAnsi="Arial;sans-serif"/>
          <w:b/>
          <w:color w:val="000000"/>
          <w:sz w:val="20"/>
          <w:shd w:fill="FFFFFF" w:val="clear"/>
        </w:rPr>
        <w:t>Reportable Segment Results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purposes of measuring and reporting our segment financial performance, we made updates to our previously implemented methodology for inter-segment transactions during the first quarter of fiscal year 2026. These transactions are when one Cimpress business chooses to buy from or sell to another Cimpress business in another reportable segment. We also updated our internal organizational structure, which included the transfer of two teams from our VistaPrint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15 in our accompanying consolidated financial statements for additional details.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VistaPrint</w:t>
      </w:r>
    </w:p>
    <w:tbl>
      <w:tblPr>
        <w:tblW w:w="10040"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329"/>
        <w:gridCol w:w="329"/>
        <w:gridCol w:w="331"/>
        <w:gridCol w:w="109"/>
        <w:gridCol w:w="109"/>
        <w:gridCol w:w="109"/>
        <w:gridCol w:w="303"/>
        <w:gridCol w:w="303"/>
        <w:gridCol w:w="429"/>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1,824,546 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1,742,663 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and organizational changes that transferred two teams to our central functions. Refer to Note 15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VistaPrint's reported revenue growth for the year ended June 30, 2026 was 6%, and was positively affected by currency exchange rate fluctuation of 2%, resulting in constant-currency revenue growth of 4%. For the year ended June 30, 2026, VistaPrint had strong growth in elevated products, partially offset by a year-over-year decline of 2% in business card and stationery products. Geographically, all regions drove revenue growth.</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VistaPrint's segment EBITDA for the year ended June 30, 2026, increased by $25.1 million, primarily due to gross profit growth of $54.1 million, despite the weight of increased investment in our North America manufacturing operations of $11.2 million and the write off of Canadian duty drawback receivables of $4.7 million. Gross profit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benefited from $3.8 million of U.S. tariff refunds. Partially offsetting the gross profit growth was an increase in advertising spend of $12.3 million, that was primarily related to an increase in performance advertising spend, which as a percentage of revenue was lower versus the prior fiscal year. In addition, operating expenses increased by $16.6 million, driven primarily by compensation increases from our annual merit cycle and volume-based operating costs. For the year ended June 30, 2026, fluctuations in currency exchange rates benefited segment EBITDA year over year by $7.5 million.</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PrintBrothers</w:t>
      </w:r>
    </w:p>
    <w:tbl>
      <w:tblPr>
        <w:tblW w:w="958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329"/>
        <w:gridCol w:w="329"/>
        <w:gridCol w:w="331"/>
        <w:gridCol w:w="109"/>
        <w:gridCol w:w="109"/>
        <w:gridCol w:w="109"/>
        <w:gridCol w:w="303"/>
        <w:gridCol w:w="303"/>
        <w:gridCol w:w="42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15 of the accompanying consolidated financial statements for additional details.</w:t>
      </w:r>
    </w:p>
    <w:p>
      <w:pPr>
        <w:pStyle w:val="TextBody"/>
        <w:bidi w:val="0"/>
        <w:spacing w:lineRule="auto" w:line="288" w:before="200" w:after="200"/>
        <w:ind w:left="0" w:right="0" w:hanging="27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PrintBrothers' reported revenue growth for the year ended June 30, 2026 was positively affected by currency exchange rate fluctuation of 8%, and tuck-in acquisitions by 8%, resulting in organic constant-currency revenue growth of 7%. Organic constant-currency revenue growth was driven primarily by customer and order volume growth across the businesses.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PrintBrothers' segment EBITDA for the year ended June 30, 2026 increased $17.1 million, partly due to positive year-over-year impacts from currency exchange fluctuation of $6.8 million and segment EBITDA contributions from recent acquisitions of $1.1 million, net of transaction related costs. Excluding the effect of currency and recent acquisitions, segment EBITDA was positively impacted by organic gross profit growth of $11.3 million, which was driven by the revenue growth described above, offset in part by an increase in operating expenses of $3.5 million, driven by technology investments and compensation increases from our annual merit cycle.</w:t>
      </w:r>
    </w:p>
    <w:p>
      <w:pPr>
        <w:pStyle w:val="TextBody"/>
        <w:bidi w:val="0"/>
        <w:spacing w:lineRule="auto" w:line="288" w:before="100" w:after="100"/>
        <w:jc w:val="left"/>
        <w:rPr>
          <w:rFonts w:ascii="Arial;sans-serif" w:hAnsi="Arial;sans-serif"/>
          <w:b/>
          <w:i/>
          <w:color w:val="000000"/>
          <w:sz w:val="20"/>
        </w:rPr>
      </w:pPr>
      <w:r>
        <w:rPr>
          <w:rFonts w:ascii="Arial;sans-serif" w:hAnsi="Arial;sans-serif"/>
          <w:b/>
          <w:i/>
          <w:color w:val="000000"/>
          <w:sz w:val="20"/>
        </w:rPr>
        <w:t>The Print Group</w:t>
      </w:r>
    </w:p>
    <w:tbl>
      <w:tblPr>
        <w:tblW w:w="958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329"/>
        <w:gridCol w:w="329"/>
        <w:gridCol w:w="331"/>
        <w:gridCol w:w="109"/>
        <w:gridCol w:w="109"/>
        <w:gridCol w:w="109"/>
        <w:gridCol w:w="303"/>
        <w:gridCol w:w="303"/>
        <w:gridCol w:w="42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15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Print Group's reported revenue growth for the year ended June 30, 2026 was positively affected by currency exchange rate fluctuation of 7%, and a tuck-in acquisition which positively impacted revenue growth by 3%, resulting in constant-currency revenue growth of 7%. Organic constant-currency revenue growth was primarily driven by increased fulfillment for other Cimpress businesses. External revenue growth was relatively flat year over year, as we continue to experience a shift to lower overall order values in certain product categories.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Print Group's segment EBITDA increased $13.4 million during the year ended June 30, 2026, partly due to positive year-over-year impacts from currency exchange fluctuation of $5.5 million. Excluding the effect of currency, segment EBITDA was positively impacted by an increase in gross profit, driven by the revenue growth described above, as well as reduced startup costs related to Pixartprinting's U.S. facility that opened in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pPr>
      <w:r>
        <w:rPr>
          <w:rFonts w:ascii="Arial;sans-serif" w:hAnsi="Arial;sans-serif"/>
          <w:b w:val="false"/>
          <w:color w:val="000000"/>
          <w:sz w:val="20"/>
        </w:rPr>
        <w:t>2025.</w:t>
      </w:r>
      <w:r>
        <w:rPr>
          <w:color w:val="EE2724"/>
        </w:rPr>
        <w:t xml:space="preserve"> </w:t>
      </w:r>
      <w:r>
        <w:rPr>
          <w:rFonts w:ascii="Arial;sans-serif" w:hAnsi="Arial;sans-serif"/>
          <w:b w:val="false"/>
          <w:color w:val="000000"/>
          <w:sz w:val="20"/>
        </w:rPr>
        <w:t xml:space="preserve">For the year ended June 30, 2026, these impacts were partially offset by an increase of $2.9 million in variable long-term incentive compensation expense, driven by changes in estimated payouts.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National Pen</w:t>
      </w:r>
    </w:p>
    <w:tbl>
      <w:tblPr>
        <w:tblW w:w="958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329"/>
        <w:gridCol w:w="329"/>
        <w:gridCol w:w="331"/>
        <w:gridCol w:w="109"/>
        <w:gridCol w:w="109"/>
        <w:gridCol w:w="109"/>
        <w:gridCol w:w="303"/>
        <w:gridCol w:w="303"/>
        <w:gridCol w:w="42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15 of the accompanying consolidated financial statements for additional details.</w:t>
      </w:r>
    </w:p>
    <w:p>
      <w:pPr>
        <w:pStyle w:val="TextBody"/>
        <w:bidi w:val="0"/>
        <w:spacing w:lineRule="auto" w:line="288" w:before="200" w:after="200"/>
        <w:jc w:val="left"/>
        <w:rPr/>
      </w:pPr>
      <w:r>
        <w:rPr>
          <w:rFonts w:ascii="Arial;sans-serif" w:hAnsi="Arial;sans-serif"/>
          <w:b w:val="false"/>
          <w:i/>
          <w:color w:val="000000"/>
          <w:sz w:val="20"/>
        </w:rPr>
        <w:t>Segment</w:t>
      </w:r>
      <w:r>
        <w:rPr>
          <w:color w:val="000000"/>
        </w:rPr>
        <w:t xml:space="preserve"> </w:t>
      </w:r>
      <w:r>
        <w:rPr>
          <w:rFonts w:ascii="Arial;sans-serif" w:hAnsi="Arial;sans-serif"/>
          <w:b w:val="false"/>
          <w:i/>
          <w:color w:val="000000"/>
          <w:sz w:val="20"/>
        </w:rPr>
        <w:t>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National Pen's reported revenue growth for the year ended June 30, 2026 was positively impacted by currency exchange rate fluctuation of 4%, resulting in constant-currency revenue growth of 6%, driven by growth in external revenue, mostly from growth within e-commerce and telesales channels, as well as an increase in fulfillment for other Cimpress businesses.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National Pen's segment EBITDA increased $8.7 million for the year ended June 30, 2026, and benefited from $3.1 million of U.S. tariff refunds, and a positive fluctuation in currency exchange rates of $2.3 million. Segment EBITDA growth was also supported by lower variable long-term incentive compensation expense of $5.3 million, driven by changes in estimated payouts, partially offset by $0.6 million of inventory write downs.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All Other Businesses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This segment includes BuildASign and Printi, a smaller business that is an online printing leader in Brazil.</w:t>
      </w:r>
    </w:p>
    <w:tbl>
      <w:tblPr>
        <w:tblW w:w="9635" w:type="dxa"/>
        <w:jc w:val="left"/>
        <w:tblInd w:w="0" w:type="dxa"/>
        <w:tblLayout w:type="fixed"/>
        <w:tblCellMar>
          <w:top w:w="28" w:type="dxa"/>
          <w:left w:w="28" w:type="dxa"/>
          <w:bottom w:w="28" w:type="dxa"/>
          <w:right w:w="28" w:type="dxa"/>
        </w:tblCellMar>
      </w:tblPr>
      <w:tblGrid>
        <w:gridCol w:w="624"/>
        <w:gridCol w:w="550"/>
        <w:gridCol w:w="551"/>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329"/>
        <w:gridCol w:w="329"/>
        <w:gridCol w:w="331"/>
        <w:gridCol w:w="109"/>
        <w:gridCol w:w="109"/>
        <w:gridCol w:w="109"/>
        <w:gridCol w:w="303"/>
        <w:gridCol w:w="303"/>
        <w:gridCol w:w="429"/>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Reported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Refer to Note 15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All Other Businesses' revenue growth for the year ended June 30, 2026 was positively impacted by currency exchange rate fluctuation of 1%, resulting in constant-currency revenue growth of 12%. BuildASign, the largest business in this segment, delivered strong growth from fulfillment for other Cimpress businesses as well as growth across home decor, signage and packaging categories. Our Printi business delivered improved constant-currency revenue growth versus the prior year.</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pPr>
      <w:r>
        <w:rPr>
          <w:rFonts w:ascii="Arial;sans-serif" w:hAnsi="Arial;sans-serif"/>
          <w:b w:val="false"/>
          <w:color w:val="000000"/>
          <w:sz w:val="20"/>
        </w:rPr>
        <w:t>For the year ended June 30, 2026, segment EBITDA was flat year-over-year, largely driven by the offsetting impacts of gross profit growth from the revenue growth described above, offset by higher variable long-term incentive compensation expense of $2.4 million, driven by changes in estimated payouts, $2.5 million</w:t>
      </w:r>
      <w:r>
        <w:rPr>
          <w:color w:val="EE2724"/>
        </w:rPr>
        <w:t xml:space="preserve"> </w:t>
      </w:r>
      <w:r>
        <w:rPr>
          <w:rFonts w:ascii="Arial;sans-serif" w:hAnsi="Arial;sans-serif"/>
          <w:b w:val="false"/>
          <w:color w:val="000000"/>
          <w:sz w:val="20"/>
        </w:rPr>
        <w:t xml:space="preserve">of start-up costs from the expansion of our North American production network, and $1.2 million of inventory write downs. EBITDA was further reduced by fluctuation in currency exchange rates of $0.5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Central and Corporate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Central and corporate costs primarily consist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our corporate functions, including tax, treasury, internal audit, legal, sustainability, real estate, corporate communications, consolidated reporting and compliance, investor relations, and the functions of our CEO and CFO. These costs also include certain unallocated share-based compensation costs. </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year ended June 30, 2026, year-over-year central and corporate costs increased by $4.5 million, primarily due to compensation increases of $2.9 million from our annual merit cycle, as well as higher professional services fees of $2.0 million, and higher unallocated share-based compensation expense of $1.0 million, driven by fluctuations in the attainment levels year over year associated with the performance conditions of our performance share units. These items were partially offset by the non-recurrence of a $2.9 million charge recognized in the year ended June 30, 2025 for a land duty tax that we continue to contest in Australia related to our 2019 redomiciliation to Ireland. </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Consolidated Statements of Cash Flows Data</w:t>
      </w:r>
    </w:p>
    <w:tbl>
      <w:tblPr>
        <w:tblW w:w="7993" w:type="dxa"/>
        <w:jc w:val="left"/>
        <w:tblInd w:w="0" w:type="dxa"/>
        <w:tblLayout w:type="fixed"/>
        <w:tblCellMar>
          <w:top w:w="28" w:type="dxa"/>
          <w:left w:w="28" w:type="dxa"/>
          <w:bottom w:w="28" w:type="dxa"/>
          <w:right w:w="28" w:type="dxa"/>
        </w:tblCellMar>
      </w:tblPr>
      <w:tblGrid>
        <w:gridCol w:w="1237"/>
        <w:gridCol w:w="1090"/>
        <w:gridCol w:w="1093"/>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518"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cash flows during the year ended June 30, 2026 related primarily to the following items: </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 xml:space="preserve">Cash inflows: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of $97.1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Adjustments for non-cash items of $198.0 million primarily related to adjustments for depreciation and amortization of $151.8 million, share-based compensation costs of $61.4 million and deferred taxes of $4.6 million, offset in part by unrealized currency-related gains of $26.4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proceeds from borrowings of debt of $10.0 million, including the impact of the amended and restated senior secured credit agreement, offset by financing fees paid and our term loan amortization payments. Refer to Note 10 in the accompanying consolidated financial statements for additional details.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sale of assets of $6.0 million, primarily related to the recent sale of a production facility within our National Pen business, as well as the sale and replacement of smaller production equipment assets across several businesses.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exercise of options of $2.7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proceeds from sales and purchases of noncontrolling interests of $0.4 million, comprising proceeds of $24.8 million related to the sale of a minority 8.75% aggregate equity interest in each of the businesses within the PrintBrothers reportable segment, offset by $24.4 million in purchases of minority equity interests in various businesses within the same reportable segment. Refer to Notes 9 and 14 in the accompanying consolidated financial statements for additional details.</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Cash outflows: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Capital expenditures of $100.2 million, of which the majority is related to the purchase of manufacturing and automation equipment and expansion of our North American production network.</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Internal and external costs of $67.0 million for software and website development that we have capitalized.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Purchases of our ordinary shares for $50.1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Business acquisitions, net of cash acquired of $32.4 million, which related to tuck-in acquisitions that were not material and are included in our PrintBrothers and The Print Group reportable segments.Refer to Note 7 in the accompanying consolidated financial statements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Payment of withholding taxes in connection with share awards of $19.3 million, primarily driven by the vesting of restricted and performance share units.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Payments for finance lease arrangements of $11.7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working capital outflows of $11.4 million, primarily due to increases in inventory levels and prepaid expenses and other assets, offset in part by increases in accrued expenses.</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Additional Liquidity and Capital Resources Information. </w:t>
      </w:r>
      <w:r>
        <w:rPr>
          <w:rFonts w:ascii="Arial;sans-serif" w:hAnsi="Arial;sans-serif"/>
          <w:b w:val="false"/>
          <w:color w:val="000000"/>
          <w:sz w:val="20"/>
        </w:rPr>
        <w:t>At June 30, 2026, we had $248.9 million of cash and cash equivalents and $1,636.4 million of debt, excluding debt issuance costs and debt premiums and discounts. During the year ended June 30, 2026, we financed our operations and strategic investments through internally generated cash flows from operations and cash on hand. We expect to finance our future operations through our cash, operating cash flow, and borrowings under our debt arrangements.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historically used excess cash and cash equivalents for organic investments, share repurchases, acquisitions and equity investments, and debt reduction. During the year ended June 30, 2026, we purchased and retired 702,820 of our ordinary shares for $50.1 million. We evaluate share repurchases, as any other use of capital, relative to our view of the impact on our intrinsic value per share compared against other opportunities. </w:t>
      </w:r>
    </w:p>
    <w:p>
      <w:pPr>
        <w:pStyle w:val="TextBody"/>
        <w:bidi w:val="0"/>
        <w:spacing w:lineRule="auto" w:line="288" w:before="100" w:after="100"/>
        <w:ind w:left="0" w:right="0" w:firstLine="720"/>
        <w:jc w:val="left"/>
        <w:rPr/>
      </w:pPr>
      <w:r>
        <w:rPr>
          <w:rFonts w:ascii="Arial;sans-serif" w:hAnsi="Arial;sans-serif"/>
          <w:b w:val="false"/>
          <w:i/>
          <w:color w:val="000000"/>
          <w:sz w:val="20"/>
        </w:rPr>
        <w:t>Subsequent Event.</w:t>
      </w:r>
      <w:r>
        <w:rPr>
          <w:color w:val="000000"/>
        </w:rPr>
        <w:t xml:space="preserve"> </w:t>
      </w:r>
      <w:r>
        <w:rPr>
          <w:rFonts w:ascii="Arial;sans-serif" w:hAnsi="Arial;sans-serif"/>
          <w:b w:val="false"/>
          <w:color w:val="000000"/>
          <w:sz w:val="20"/>
        </w:rPr>
        <w:t>On July 2, 2026, we completed the acquisition of Saxoprint for €120 million, subject to a post-closing adjustment. We are actively pursuing a sale-leaseback of their manufacturing facility to reduce the net cash outlay for the acquisition, however, no definitive agreement has been executed at this time for the potential transaction. Refer to Note 20 in the accompanying consolidated financial statements for additional details.</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Supply Chain Financing Program. </w:t>
      </w:r>
      <w:r>
        <w:rPr>
          <w:rFonts w:ascii="Arial;sans-serif" w:hAnsi="Arial;sans-serif"/>
          <w:b w:val="false"/>
          <w:color w:val="000000"/>
          <w:sz w:val="20"/>
        </w:rPr>
        <w:t>As part of our ongoing efforts to manage our liquidity, we work with our suppliers to optimize our terms 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17 of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Indefinitely Reinvested Earnings. </w:t>
      </w:r>
      <w:r>
        <w:rPr>
          <w:rFonts w:ascii="Arial;sans-serif" w:hAnsi="Arial;sans-serif"/>
          <w:b w:val="false"/>
          <w:color w:val="000000"/>
          <w:sz w:val="20"/>
        </w:rPr>
        <w:t>As of June 30, 2026, a portion of our cash and cash equivalents were held by our subsidiaries.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Contractual obligations at June 30, 2026 are as follows:</w:t>
      </w:r>
    </w:p>
    <w:tbl>
      <w:tblPr>
        <w:tblW w:w="10205" w:type="dxa"/>
        <w:jc w:val="left"/>
        <w:tblInd w:w="0" w:type="dxa"/>
        <w:tblLayout w:type="fixed"/>
        <w:tblCellMar>
          <w:top w:w="28" w:type="dxa"/>
          <w:left w:w="28" w:type="dxa"/>
          <w:bottom w:w="28" w:type="dxa"/>
          <w:right w:w="28" w:type="dxa"/>
        </w:tblCellMar>
      </w:tblPr>
      <w:tblGrid>
        <w:gridCol w:w="1080"/>
        <w:gridCol w:w="869"/>
        <w:gridCol w:w="87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108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73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Payments Due by Period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w:t>
              <w:br/>
              <w:t>than 5</w:t>
              <w:br/>
              <w:t>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net of subleases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 and interest payments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1,164,637 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 Notes and interest 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net of subleases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1,815,718 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Operating and finance lease payments above include only amounts which are fixed under lease agreements. Our leases may also incur variable expenses which are not reflected in the contractual obligations above.</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(2) Interest payments are based on the interest rate as of June 30, 2026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 </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$1.4 million as of June 30, 2026 have been excluded from the contractual obligations table above. See Note 13 in our accompanying consolidated financial statements for additional information on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00"/>
        <w:ind w:left="0" w:right="0" w:firstLine="720"/>
        <w:jc w:val="left"/>
        <w:rPr/>
      </w:pPr>
      <w:r>
        <w:rPr>
          <w:rFonts w:ascii="Arial;sans-serif" w:hAnsi="Arial;sans-serif"/>
          <w:b w:val="false"/>
          <w:i/>
          <w:color w:val="000000"/>
          <w:sz w:val="20"/>
        </w:rPr>
        <w:t>Operating Leases</w:t>
      </w:r>
      <w:r>
        <w:rPr>
          <w:rFonts w:ascii="Arial;sans-serif" w:hAnsi="Arial;sans-serif"/>
          <w:b w:val="false"/>
          <w:color w:val="000000"/>
          <w:sz w:val="20"/>
        </w:rPr>
        <w:t>. We rent manufacturing facilities and office space under operating leases expiring on various dates through 2046. The terms of certain lease agreements require security deposits in the form of bank guarantees and letters of credit, with $4.4 million in the aggregate outstanding as of June 30, 2026.</w:t>
      </w:r>
    </w:p>
    <w:p>
      <w:pPr>
        <w:pStyle w:val="TextBody"/>
        <w:bidi w:val="0"/>
        <w:spacing w:lineRule="auto" w:line="288" w:before="100" w:after="100"/>
        <w:ind w:left="0" w:right="0" w:firstLine="720"/>
        <w:jc w:val="left"/>
        <w:rPr/>
      </w:pPr>
      <w:r>
        <w:rPr>
          <w:rFonts w:ascii="Arial;sans-serif" w:hAnsi="Arial;sans-serif"/>
          <w:b w:val="false"/>
          <w:i/>
          <w:color w:val="000000"/>
          <w:sz w:val="20"/>
        </w:rPr>
        <w:t>Purchase Commitments.</w:t>
      </w:r>
      <w:r>
        <w:rPr>
          <w:color w:val="000000"/>
        </w:rPr>
        <w:t> </w:t>
      </w:r>
      <w:r>
        <w:rPr>
          <w:rFonts w:ascii="Arial;sans-serif" w:hAnsi="Arial;sans-serif"/>
          <w:b w:val="false"/>
          <w:color w:val="000000"/>
          <w:sz w:val="20"/>
        </w:rPr>
        <w:t>At June 30, 2026, we had unrecorded commitments under contract of $338.2 million. Purchase commitments consisted of third-party cloud services of $211.7 million; third-party fulfillment and digital services of $76.9 million; software of $36.7 million; professional and consulting fees of $8.9 million; production and computer equipment purchases of $1.5 million; advertising of $0.7 million; insurance costs of $0.4 million; and other commitments of $1.3 million.</w:t>
      </w:r>
    </w:p>
    <w:p>
      <w:pPr>
        <w:pStyle w:val="TextBody"/>
        <w:bidi w:val="0"/>
        <w:spacing w:lineRule="auto" w:line="276" w:before="0" w:after="0"/>
        <w:ind w:left="0" w:right="0" w:firstLine="720"/>
        <w:jc w:val="left"/>
        <w:rPr/>
      </w:pPr>
      <w:r>
        <w:rPr>
          <w:rFonts w:ascii="Arial;sans-serif" w:hAnsi="Arial;sans-serif"/>
          <w:b w:val="false"/>
          <w:i/>
          <w:color w:val="000000"/>
          <w:sz w:val="20"/>
        </w:rPr>
        <w:t>Senior Secured Credit Facility and Interest Payments.</w:t>
      </w:r>
      <w:r>
        <w:rPr>
          <w:color w:val="000000"/>
        </w:rPr>
        <w:t xml:space="preserve"> </w:t>
      </w:r>
      <w:r>
        <w:rPr>
          <w:rFonts w:ascii="Arial;sans-serif" w:hAnsi="Arial;sans-serif"/>
          <w:b w:val="false"/>
          <w:color w:val="000000"/>
          <w:sz w:val="20"/>
        </w:rPr>
        <w:t xml:space="preserve">On June 4, 2026, we amended and restated our senior secured credit agreement, refinancing our prior term loans with a new $1.1 billion senior secured term loan facility due June 4, 2033 and extending the maturity of our $250.0 million senior secured revolving credit facility to June 4, 2031. Our $250.0 million senior secured revolving credit facility has $232.7 million unused as of June 30, 2026. There are no drawn amounts on the Revolving Credit Facility as of June 30, 2026, but our outstanding letters of credit reduce our unused balance. Our unused balance can be drawn at any time so long as we are in compliance with our debt covenants, and if the aggregate principal amount of outstanding revolving loans, swingline loans and unreimbursed letter of credit disbursements made under the Revolving Credit Facility exceeds 20% of the aggregate revolving commitments as of the last day of any fiscal quarter, then we are subject to a financial maintenance covenant requiring that the Consolidated Leverage Ratio calculated as of the last day of such quarter may not exceed 4.50 to 1.00. Any amounts drawn under the Revolving Credit Facility will be due on June 4, 2031. Interest payable included in the above table is based on the interest rate as of June 30, 2026 and assumes all Term SOFR-based revolving loan amounts outstanding will not be paid until maturity but that the term loan amortization payments will be made according to our defined schedule. As of June 30, 2026, we have borrowings under our Restated Credit Agreement of $1,097.3 million, consisting of the term loan, which amortizes over the loan period, with a final maturity date of June 4, 2033. </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2032 Senior Notes and Interest Payments. </w:t>
      </w:r>
      <w:r>
        <w:rPr>
          <w:rFonts w:ascii="Arial;sans-serif" w:hAnsi="Arial;sans-serif"/>
          <w:b w:val="false"/>
          <w:color w:val="000000"/>
          <w:sz w:val="20"/>
        </w:rPr>
        <w:t>On September 26, 2024, we completed a private placement of $525.0 million in aggregate 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10 in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Debt Covenants.</w:t>
      </w:r>
      <w:r>
        <w:rPr>
          <w:color w:val="000000"/>
        </w:rPr>
        <w:t xml:space="preserve"> </w:t>
      </w:r>
      <w:r>
        <w:rPr>
          <w:rFonts w:ascii="Arial;sans-serif" w:hAnsi="Arial;sans-serif"/>
          <w:b w:val="false"/>
          <w:color w:val="000000"/>
          <w:sz w:val="20"/>
        </w:rPr>
        <w:t>The Restated Credit Agreement and the indenture that governs our 2032 Notes contain covenants that restrict or limit certain activities and transactions by Cimpress and our subsidiaries. As of June 30, 2026, we were in compliance with all covenants under our Restated Credit Agreement and the indenture governing our 2032 Notes. Refer to Note 10 in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Other Debt.</w:t>
      </w:r>
      <w:r>
        <w:rPr>
          <w:color w:val="000000"/>
        </w:rPr>
        <w:t xml:space="preserve"> </w:t>
      </w:r>
      <w:r>
        <w:rPr>
          <w:rFonts w:ascii="Arial;sans-serif" w:hAnsi="Arial;sans-serif"/>
          <w:b w:val="false"/>
          <w:color w:val="000000"/>
          <w:sz w:val="20"/>
        </w:rPr>
        <w:t>In addition, we have other debt which consists primarily of term loans acquired through our various acquisitions or used to fund certain capital investments. As of June 30, 2026, we had $14.2 million outstanding for those obligations that have repayments due on various dates through September 2037.</w:t>
      </w:r>
    </w:p>
    <w:p>
      <w:pPr>
        <w:pStyle w:val="TextBody"/>
        <w:bidi w:val="0"/>
        <w:spacing w:lineRule="auto" w:line="288" w:before="100" w:after="100"/>
        <w:ind w:left="0" w:right="0" w:firstLine="720"/>
        <w:jc w:val="left"/>
        <w:rPr/>
      </w:pPr>
      <w:r>
        <w:rPr>
          <w:rFonts w:ascii="Arial;sans-serif" w:hAnsi="Arial;sans-serif"/>
          <w:b w:val="false"/>
          <w:i/>
          <w:color w:val="000000"/>
          <w:sz w:val="20"/>
        </w:rPr>
        <w:t>Finance Leases.</w:t>
      </w:r>
      <w:r>
        <w:rPr>
          <w:color w:val="000000"/>
        </w:rPr>
        <w:t xml:space="preserve"> </w:t>
      </w:r>
      <w:r>
        <w:rPr>
          <w:rFonts w:ascii="Arial;sans-serif" w:hAnsi="Arial;sans-serif"/>
          <w:b w:val="false"/>
          <w:color w:val="000000"/>
          <w:sz w:val="20"/>
        </w:rPr>
        <w:t>We lease certain facilities, machinery, and plant equipment under finance lease agreements that expire at various dates through 2037. The aggregate carrying value of the leased assets under finance leases included in property, plant and equipment, net in our consolidated balance sheet at June 30, 2026 is $42.8 million, net of accumulated depreciation of $25.7 million. The present value of lease installments not yet due included in other current liabilities and other liabilities in our consolidated balance sheet at June 30, 2026 amounts to $49.2 million.</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Additional Non-GAAP Financial Measures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Constant-currency revenue growth and constant-currency revenue growth excluding acquisitions/divestitures (which we refer to above as organic constant-currency revenue growth), in each case as defined and presented in the consolidated results of operations section above (with reconciliations to GAAP revenue growth), as well as adjusted EBITDA and adjusted free cash flow presented below,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defined as net income plus income tax expense plus (gain) loss on early extinguishment of debt plus interest expense, net plus other expense (income), net plus depreciation and amortization plus share-based compensation expense plus earn-out related charges plus certain impairments plus restructuring-related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net income.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income (loss) and adjusted EBITDA for the years ended June 30, 2026, 2025, and 2024:</w:t>
      </w:r>
    </w:p>
    <w:tbl>
      <w:tblPr>
        <w:tblW w:w="10108" w:type="dxa"/>
        <w:jc w:val="center"/>
        <w:tblInd w:w="0" w:type="dxa"/>
        <w:tblLayout w:type="fixed"/>
        <w:tblCellMar>
          <w:top w:w="28" w:type="dxa"/>
          <w:left w:w="28" w:type="dxa"/>
          <w:bottom w:w="28" w:type="dxa"/>
          <w:right w:w="28" w:type="dxa"/>
        </w:tblCellMar>
      </w:tblPr>
      <w:tblGrid>
        <w:gridCol w:w="2002"/>
        <w:gridCol w:w="1764"/>
        <w:gridCol w:w="176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518" w:type="dxa"/>
            <w:gridSpan w:val="6"/>
            <w:tcBorders/>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Exclude expense (benefit) impact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Certain impairments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 certain items that are a part of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(losses) gains on currency derivatives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468,682 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Realized (losses)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cash provided by operating activities and adjusted free cash flow for the years ended June 30, 2026, 2025, and 2024:</w:t>
      </w:r>
    </w:p>
    <w:tbl>
      <w:tblPr>
        <w:tblW w:w="9357" w:type="dxa"/>
        <w:jc w:val="left"/>
        <w:tblInd w:w="0" w:type="dxa"/>
        <w:tblLayout w:type="fixed"/>
        <w:tblCellMar>
          <w:top w:w="28" w:type="dxa"/>
          <w:left w:w="28" w:type="dxa"/>
          <w:bottom w:w="28" w:type="dxa"/>
          <w:right w:w="28" w:type="dxa"/>
        </w:tblCellMar>
      </w:tblPr>
      <w:tblGrid>
        <w:gridCol w:w="1729"/>
        <w:gridCol w:w="1525"/>
        <w:gridCol w:w="1530"/>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518" w:type="dxa"/>
            <w:gridSpan w:val="6"/>
            <w:tcBorders/>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 conjunction with Note 2, "Summary of Significant Accounting Policies," of our audited consolidated financial statements included elsewhere in this Report.</w:t>
      </w:r>
    </w:p>
    <w:p>
      <w:pPr>
        <w:pStyle w:val="TextBody"/>
        <w:bidi w:val="0"/>
        <w:spacing w:lineRule="auto" w:line="288" w:before="220" w:after="283"/>
        <w:ind w:left="0" w:right="0" w:firstLine="720"/>
        <w:jc w:val="left"/>
        <w:rPr/>
      </w:pPr>
      <w:r>
        <w:rPr>
          <w:rFonts w:ascii="Arial;sans-serif" w:hAnsi="Arial;sans-serif"/>
          <w:b w:val="false"/>
          <w:i/>
          <w:color w:val="000000"/>
          <w:sz w:val="20"/>
        </w:rPr>
        <w:t>Revenue Recognition.</w:t>
      </w:r>
      <w:r>
        <w:rPr>
          <w:color w:val="000000"/>
        </w:rPr>
        <w:t xml:space="preserve"> </w:t>
      </w:r>
      <w:r>
        <w:rPr>
          <w:rFonts w:ascii="Arial;sans-serif" w:hAnsi="Arial;sans-serif"/>
          <w:b w:val="false"/>
          <w:color w:val="000000"/>
          <w:sz w:val="20"/>
        </w:rPr>
        <w:t>We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record deferred revenue when cash payments are received in advance of our satisfaction of the related performance obligation. The satisfaction of performance obligations generally occur shortly after cash payment and we expect to recognize the majority of our deferred revenue balance as revenue within three months subsequent to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pStyle w:val="TextBody"/>
        <w:bidi w:val="0"/>
        <w:spacing w:lineRule="auto" w:line="288" w:before="220" w:after="283"/>
        <w:ind w:left="0" w:right="0" w:firstLine="720"/>
        <w:jc w:val="left"/>
        <w:rPr/>
      </w:pPr>
      <w:r>
        <w:rPr>
          <w:rFonts w:ascii="Arial;sans-serif" w:hAnsi="Arial;sans-serif"/>
          <w:b w:val="false"/>
          <w:i/>
          <w:color w:val="000000"/>
          <w:sz w:val="20"/>
        </w:rPr>
        <w:t>Share-Based Compensation.</w:t>
      </w:r>
      <w:r>
        <w:rPr>
          <w:color w:val="000000"/>
        </w:rPr>
        <w:t xml:space="preserve"> </w:t>
      </w:r>
      <w:r>
        <w:rPr>
          <w:rFonts w:ascii="Arial;sans-serif" w:hAnsi="Arial;sans-serif"/>
          <w:b w:val="false"/>
          <w:color w:val="000000"/>
          <w:sz w:val="20"/>
        </w:rPr>
        <w:t>We measure share-based compensation costs at fair value, and recognize the expense over the period that the recipient is required to provide service in exchange for the award, which generally is the vesting period. We recognize the impact of forfeitures as they occur.</w:t>
      </w:r>
    </w:p>
    <w:p>
      <w:pPr>
        <w:pStyle w:val="TextBody"/>
        <w:bidi w:val="0"/>
        <w:spacing w:lineRule="auto" w:line="288" w:before="220" w:after="283"/>
        <w:ind w:left="0" w:right="0" w:firstLine="720"/>
        <w:jc w:val="left"/>
        <w:rPr/>
      </w:pPr>
      <w:r>
        <w:rPr>
          <w:rFonts w:ascii="Arial;sans-serif" w:hAnsi="Arial;sans-serif"/>
          <w:b w:val="false"/>
          <w:i/>
          <w:color w:val="000000"/>
          <w:sz w:val="20"/>
        </w:rPr>
        <w:t>Income Taxes</w:t>
      </w:r>
      <w:r>
        <w:rPr>
          <w:rFonts w:ascii="Arial;sans-serif" w:hAnsi="Arial;sans-serif"/>
          <w:b w:val="false"/>
          <w:color w:val="000000"/>
          <w:sz w:val="20"/>
        </w:rPr>
        <w:t>. As part of the process of preparing our consolidated financial statements, we calculate our income taxes in each of the 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w:t>
      </w:r>
    </w:p>
    <w:p>
      <w:pPr>
        <w:pStyle w:val="TextBody"/>
        <w:bidi w:val="0"/>
        <w:spacing w:lineRule="auto" w:line="288" w:before="220" w:after="283"/>
        <w:ind w:left="0" w:right="0" w:firstLine="720"/>
        <w:jc w:val="left"/>
        <w:rPr/>
      </w:pPr>
      <w:r>
        <w:rPr>
          <w:rFonts w:ascii="Arial;sans-serif" w:hAnsi="Arial;sans-serif"/>
          <w:b w:val="false"/>
          <w:i/>
          <w:color w:val="000000"/>
          <w:sz w:val="20"/>
        </w:rPr>
        <w:t>Software and Website Development Costs</w:t>
      </w:r>
      <w:r>
        <w:rPr>
          <w:rFonts w:ascii="Arial;sans-serif" w:hAnsi="Arial;sans-serif"/>
          <w:b w:val="false"/>
          <w:color w:val="000000"/>
          <w:sz w:val="20"/>
        </w:rPr>
        <w:t>. We capitalize eligible salaries and payroll-related costs of employees and third-party consultants who devote time to 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pStyle w:val="TextBody"/>
        <w:bidi w:val="0"/>
        <w:spacing w:lineRule="auto" w:line="288" w:before="220" w:after="283"/>
        <w:ind w:left="0" w:right="0" w:firstLine="720"/>
        <w:jc w:val="left"/>
        <w:rPr/>
      </w:pPr>
      <w:r>
        <w:rPr>
          <w:rFonts w:ascii="Arial;sans-serif" w:hAnsi="Arial;sans-serif"/>
          <w:b w:val="false"/>
          <w:i/>
          <w:color w:val="000000"/>
          <w:sz w:val="20"/>
        </w:rPr>
        <w:t>Goodwill, Indefinite-Lived Intangible Assets, and Other Definite Lived Long-Lived Assets</w:t>
      </w:r>
      <w:r>
        <w:rPr>
          <w:rFonts w:ascii="Arial;sans-serif" w:hAnsi="Arial;sans-serif"/>
          <w:b w:val="false"/>
          <w:color w:val="000000"/>
          <w:sz w:val="20"/>
        </w:rPr>
        <w:t>. We evaluate goodwill and indefinite-lived 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significant adverse change in legal factors or the business climate;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adverse action or assessment by a regulator;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Unanticipated competition;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loss of key personnel;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more-likely-than-not expectation that a reporting unit or a significant portion of a reporting unit will be sold or otherwise disposed 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 For the year ended June 30, 2026, we recognized no impairments.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during the year ended June 30, 2026, and we recognized no impairments.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Item 8 of Part II, “Financial Statements and Supplementary Data — Note 2 — Summary of Significant Accounting Policies — Recently Issued or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 xml:space="preserve">Item 7A. </w:t>
      </w:r>
      <w:r>
        <w:rPr>
          <w:rFonts w:ascii="Arial;sans-serif" w:hAnsi="Arial;sans-serif"/>
          <w:b/>
          <w:i/>
          <w:color w:val="000000"/>
          <w:sz w:val="20"/>
        </w:rPr>
        <w:t>Quantitative and Qualitative Disclosures About Market Risk</w:t>
      </w:r>
    </w:p>
    <w:p>
      <w:pPr>
        <w:pStyle w:val="TextBody"/>
        <w:bidi w:val="0"/>
        <w:spacing w:lineRule="auto" w:line="288" w:before="100" w:after="100"/>
        <w:ind w:left="0" w:right="0" w:firstLine="720"/>
        <w:jc w:val="left"/>
        <w:rPr/>
      </w:pPr>
      <w:r>
        <w:rPr>
          <w:rFonts w:ascii="Arial;sans-serif" w:hAnsi="Arial;sans-serif"/>
          <w:b w:val="false"/>
          <w:i/>
          <w:color w:val="000000"/>
          <w:sz w:val="20"/>
        </w:rPr>
        <w:t>Interest Rate Risk.</w:t>
      </w:r>
      <w:r>
        <w:rPr>
          <w:color w:val="000000"/>
        </w:rPr>
        <w:t> </w:t>
      </w:r>
      <w:r>
        <w:rPr>
          <w:rFonts w:ascii="Arial;sans-serif" w:hAnsi="Arial;sans-serif"/>
          <w:b w:val="false"/>
          <w:color w:val="000000"/>
          <w:sz w:val="20"/>
        </w:rPr>
        <w:t xml:space="preserve">Our exposure to interest rate risk relates primarily to our cash, cash equivalents, and debt.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pStyle w:val="TextBody"/>
        <w:bidi w:val="0"/>
        <w:spacing w:lineRule="auto" w:line="288" w:before="100" w:after="100"/>
        <w:ind w:left="0" w:right="0" w:firstLine="720"/>
        <w:jc w:val="left"/>
        <w:rPr/>
      </w:pPr>
      <w:r>
        <w:rPr>
          <w:rFonts w:ascii="Arial;sans-serif" w:hAnsi="Arial;sans-serif"/>
          <w:b w:val="false"/>
          <w:color w:val="000000"/>
          <w:sz w:val="20"/>
        </w:rPr>
        <w:t>As of June 30, 2026, we had</w:t>
      </w:r>
      <w:r>
        <w:rPr>
          <w:color w:val="FF0000"/>
        </w:rPr>
        <w:t xml:space="preserve"> </w:t>
      </w:r>
      <w:r>
        <w:rPr>
          <w:rFonts w:ascii="Arial;sans-serif" w:hAnsi="Arial;sans-serif"/>
          <w:b w:val="false"/>
          <w:color w:val="000000"/>
          <w:sz w:val="20"/>
        </w:rPr>
        <w:t>$1,097.3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June 30, 2026, a hypothetical 100 basis point increase in rates, inclusive of the impact of our outstanding interest rate swaps that are accruing interest as of June 30, 2026, would result in a $7.4 million increase to interest expense over the next 12 months. This does not include any yield from cash and marketable securities.</w:t>
      </w:r>
    </w:p>
    <w:p>
      <w:pPr>
        <w:pStyle w:val="TextBody"/>
        <w:bidi w:val="0"/>
        <w:spacing w:lineRule="auto" w:line="288" w:before="100" w:after="100"/>
        <w:ind w:left="0" w:right="0" w:firstLine="720"/>
        <w:jc w:val="left"/>
        <w:rPr/>
      </w:pPr>
      <w:r>
        <w:rPr>
          <w:rFonts w:ascii="Arial;sans-serif" w:hAnsi="Arial;sans-serif"/>
          <w:b w:val="false"/>
          <w:i/>
          <w:color w:val="000000"/>
          <w:sz w:val="20"/>
        </w:rPr>
        <w:t>Currency Exchange Rate Risk.</w:t>
      </w:r>
      <w:r>
        <w:rPr>
          <w:color w:val="000000"/>
        </w:rPr>
        <w:t> </w:t>
      </w:r>
      <w:r>
        <w:rPr>
          <w:rFonts w:ascii="Arial;sans-serif" w:hAnsi="Arial;sans-serif"/>
          <w:b w:val="false"/>
          <w:color w:val="000000"/>
          <w:sz w:val="20"/>
        </w:rPr>
        <w:t>We conduct business in multiple currencies through our worldwide operations but report our financial 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Translation of our non-U.S. dollar revenues and expenses:</w:t>
      </w:r>
      <w:r>
        <w:rPr>
          <w:color w:val="000000"/>
        </w:rPr>
        <w:t xml:space="preserve"> </w:t>
      </w:r>
      <w:r>
        <w:rPr>
          <w:rFonts w:ascii="Arial;sans-serif" w:hAnsi="Arial;sans-serif"/>
          <w:b w:val="false"/>
          <w:color w:val="000000"/>
          <w:sz w:val="20"/>
        </w:rPr>
        <w:t>Revenue and related expenses generated in currencies other than the U.S. dollar could result in higher or lower net income (loss)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GBP.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Translation of our non-U.S. dollar assets and liabilities</w:t>
      </w:r>
      <w:r>
        <w:rPr>
          <w:rFonts w:ascii="Arial;sans-serif" w:hAnsi="Arial;sans-serif"/>
          <w:b w:val="false"/>
          <w:color w:val="000000"/>
          <w:sz w:val="20"/>
        </w:rPr>
        <w:t xml:space="preserve">: Each of our subsidiaries translates its assets and liabilities to U.S. dollars at 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Remeasurement of monetary assets and liabilities:</w:t>
      </w:r>
      <w:r>
        <w:rPr>
          <w:color w:val="000000"/>
        </w:rPr>
        <w:t xml:space="preserve"> </w:t>
      </w:r>
      <w:r>
        <w:rPr>
          <w:rFonts w:ascii="Arial;sans-serif" w:hAnsi="Arial;sans-serif"/>
          <w:b w:val="false"/>
          <w:color w:val="000000"/>
          <w:sz w:val="20"/>
        </w:rPr>
        <w:t xml:space="preserve">Transaction gains and losses generated from remeasurement of monetary assets 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are non-U.S. dollar loans that we hedge with cross-currency swap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$11.0 million on our income before income taxes for the year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8.         </w:t>
      </w:r>
      <w:r>
        <w:rPr>
          <w:rFonts w:ascii="Arial;sans-serif" w:hAnsi="Arial;sans-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CONSOLIDATED FINANCIAL STATEMENTS</w:t>
      </w:r>
    </w:p>
    <w:p>
      <w:pPr>
        <w:pStyle w:val="TextBody"/>
        <w:bidi w:val="0"/>
        <w:spacing w:before="0" w:after="0"/>
        <w:jc w:val="center"/>
        <w:rPr/>
      </w:pPr>
      <w:r>
        <w:rPr/>
      </w:r>
    </w:p>
    <w:tbl>
      <w:tblPr>
        <w:tblW w:w="7674" w:type="dxa"/>
        <w:jc w:val="center"/>
        <w:tblInd w:w="0" w:type="dxa"/>
        <w:tblLayout w:type="fixed"/>
        <w:tblCellMar>
          <w:top w:w="28" w:type="dxa"/>
          <w:left w:w="28" w:type="dxa"/>
          <w:bottom w:w="28" w:type="dxa"/>
          <w:right w:w="28" w:type="dxa"/>
        </w:tblCellMar>
      </w:tblPr>
      <w:tblGrid>
        <w:gridCol w:w="2529"/>
        <w:gridCol w:w="2217"/>
        <w:gridCol w:w="2229"/>
        <w:gridCol w:w="109"/>
        <w:gridCol w:w="109"/>
        <w:gridCol w:w="109"/>
        <w:gridCol w:w="109"/>
        <w:gridCol w:w="109"/>
        <w:gridCol w:w="154"/>
      </w:tblGrid>
      <w:tr>
        <w:trPr/>
        <w:tc>
          <w:tcPr>
            <w:tcW w:w="252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Report of Independent Registered Public Accounting Firm (PCAOB ID No. 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78">
              <w:r>
                <w:rPr>
                  <w:rStyle w:val="InternetLink"/>
                  <w:rFonts w:ascii="Arial;sans-serif" w:hAnsi="Arial;sans-serif"/>
                  <w:b w:val="false"/>
                  <w:strike w:val="false"/>
                  <w:dstrike w:val="false"/>
                  <w:color w:val="000000"/>
                  <w:sz w:val="20"/>
                  <w:u w:val="none"/>
                  <w:effect w:val="none"/>
                </w:rPr>
                <w:t>46</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3">
              <w:r>
                <w:rPr>
                  <w:rStyle w:val="InternetLink"/>
                  <w:rFonts w:ascii="Arial;sans-serif" w:hAnsi="Arial;sans-serif"/>
                  <w:b w:val="false"/>
                  <w:strike w:val="false"/>
                  <w:dstrike w:val="false"/>
                  <w:color w:val="000000"/>
                  <w:sz w:val="20"/>
                  <w:u w:val="none"/>
                  <w:effect w:val="none"/>
                </w:rPr>
                <w:t>48</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19">
              <w:r>
                <w:rPr>
                  <w:rStyle w:val="InternetLink"/>
                  <w:rFonts w:ascii="Arial;sans-serif" w:hAnsi="Arial;sans-serif"/>
                  <w:b w:val="false"/>
                  <w:strike w:val="false"/>
                  <w:dstrike w:val="false"/>
                  <w:color w:val="000000"/>
                  <w:sz w:val="20"/>
                  <w:u w:val="none"/>
                  <w:effect w:val="none"/>
                </w:rPr>
                <w:t>49</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2">
              <w:r>
                <w:rPr>
                  <w:rStyle w:val="InternetLink"/>
                  <w:rFonts w:ascii="Arial;sans-serif" w:hAnsi="Arial;sans-serif"/>
                  <w:b w:val="false"/>
                  <w:strike w:val="false"/>
                  <w:dstrike w:val="false"/>
                  <w:color w:val="000000"/>
                  <w:sz w:val="20"/>
                  <w:u w:val="none"/>
                  <w:effect w:val="none"/>
                </w:rPr>
                <w:t>50</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Statements of Shareholders’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20">
              <w:r>
                <w:rPr>
                  <w:rStyle w:val="InternetLink"/>
                  <w:rFonts w:ascii="Arial;sans-serif" w:hAnsi="Arial;sans-serif"/>
                  <w:b w:val="false"/>
                  <w:strike w:val="false"/>
                  <w:dstrike w:val="false"/>
                  <w:color w:val="000000"/>
                  <w:sz w:val="20"/>
                  <w:u w:val="none"/>
                  <w:effect w:val="none"/>
                </w:rPr>
                <w:t>51</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28">
              <w:r>
                <w:rPr>
                  <w:rStyle w:val="InternetLink"/>
                  <w:rFonts w:ascii="Arial;sans-serif" w:hAnsi="Arial;sans-serif"/>
                  <w:b w:val="false"/>
                  <w:strike w:val="false"/>
                  <w:dstrike w:val="false"/>
                  <w:color w:val="000000"/>
                  <w:sz w:val="20"/>
                  <w:u w:val="none"/>
                  <w:effect w:val="none"/>
                </w:rPr>
                <w:t>53</w:t>
              </w:r>
            </w:hyperlink>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01767a91f3429aa8e8241db715e8e0_31">
              <w:r>
                <w:rPr>
                  <w:rStyle w:val="InternetLink"/>
                  <w:rFonts w:ascii="Arial;sans-serif" w:hAnsi="Arial;sans-serif"/>
                  <w:b w:val="false"/>
                  <w:strike w:val="false"/>
                  <w:dstrike w:val="false"/>
                  <w:color w:val="000000"/>
                  <w:sz w:val="20"/>
                  <w:u w:val="none"/>
                  <w:effect w:val="none"/>
                </w:rPr>
                <w:t>55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the Board of Directors and Shareholders of Cimpress plc</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Cimpress plc and its subsidiaries (the "Company") as of June 30, 2026 and 2025, and the related consolidated statements of operations, of comprehensive income, of shareholders' deficit and of cash flows for each of the three years in the period ended June 30, 2026, including the related notes (collectively referred to as the "consolidated financial statements"). We also have audited the Company's internal control over financial reporting as of June 30, 2026, based on criteria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our opinion, the consolidated financial statements referred to above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Internal Control - Integrated Framework (2013) issued by the COSO.</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Basis for Opinions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Critical Audit Matters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Revenue Recognition– Certain Physical Printed Products and Other Revenue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described in Notes 2 and 15 to the consolidated financial statements, revenue is generated primarily from the sale and shipment of customized manufactured products. Revenues are recognized at a point in time when control of the promised products is transferred to the customer in an amount that reflects the consideration the Company expects to be entitled to in exchange for those products. The Company’s consolidated revenue was $3.7 billion for the year ended June 30, 2026, of which a significant portion relates to certain physical printed products and other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principal consideration for our determination that performing procedures relating to revenue recognition for certain physical printed products and other revenue is a critical audit matter is a high degree of auditor effort in performing procedures related to the Company’s revenue recognition for certain physical printed products and other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revenue for certain physical printed products and other revenue when control of the promised product is transferred to the customer. These procedures also included, among others (i) testing revenue recognition for a sample of certain physical printed products and other revenue transactions by obtaining and inspecting source documents, such as order confirmations, invoices, and proof of shipment or delivery; (ii) testing the timing of revenue recognition for a sample of certain physical printed products and other revenue transactions before and after period end by obtaining and inspecting source documents, such as order confirmations, invoices, and proof of shipment or delivery; and (iii) confirming a sample of outstanding customer invoice balances as of June 30, 2026 and, for confirmations not returned, obtaining and inspecting source documents, such as order confirmations, invoices, proof of shipment or delivery, and subsequent cash receipts.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PricewaterhouseCoopers LLP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Boston, Massachusetts </w:t>
      </w:r>
    </w:p>
    <w:p>
      <w:pPr>
        <w:pStyle w:val="TextBody"/>
        <w:bidi w:val="0"/>
        <w:spacing w:lineRule="auto" w:line="268" w:before="0" w:after="100"/>
        <w:jc w:val="left"/>
        <w:rPr>
          <w:rFonts w:ascii="Arial;sans-serif" w:hAnsi="Arial;sans-serif"/>
          <w:b w:val="false"/>
          <w:color w:val="000000"/>
          <w:sz w:val="20"/>
        </w:rPr>
      </w:pPr>
      <w:r>
        <w:rPr>
          <w:rFonts w:ascii="Arial;sans-serif" w:hAnsi="Arial;sans-serif"/>
          <w:b w:val="false"/>
          <w:color w:val="000000"/>
          <w:sz w:val="20"/>
        </w:rPr>
        <w:t>August 7, 2026</w:t>
      </w:r>
    </w:p>
    <w:p>
      <w:pPr>
        <w:pStyle w:val="TextBody"/>
        <w:bidi w:val="0"/>
        <w:spacing w:before="0" w:after="10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913"/>
        <w:gridCol w:w="2187"/>
        <w:gridCol w:w="2140"/>
        <w:gridCol w:w="211"/>
        <w:gridCol w:w="976"/>
        <w:gridCol w:w="109"/>
        <w:gridCol w:w="109"/>
        <w:gridCol w:w="109"/>
        <w:gridCol w:w="109"/>
        <w:gridCol w:w="211"/>
        <w:gridCol w:w="976"/>
        <w:gridCol w:w="155"/>
      </w:tblGrid>
      <w:tr>
        <w:trPr/>
        <w:tc>
          <w:tcPr>
            <w:tcW w:w="291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net of allowances of $6,772</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$7,957,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and website development costs,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1,968,144 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noncontrolling interests and shareholders’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758,662 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17)</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 (Note 14)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shares, nominal value €0.01 per share, 100,000,000 shares authorized; none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nominal value €0.01 per share, 100,000,000 shares authorized; 42,318,634 and 42,448,572 shares issued, respectively; 24,347,387 and 24,477,325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17,971,247 shares for both periods presented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 attributable to Cimpress plc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(583,490)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1,968,144 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093" w:type="dxa"/>
        <w:jc w:val="center"/>
        <w:tblInd w:w="0" w:type="dxa"/>
        <w:tblLayout w:type="fixed"/>
        <w:tblCellMar>
          <w:top w:w="28" w:type="dxa"/>
          <w:left w:w="28" w:type="dxa"/>
          <w:bottom w:w="28" w:type="dxa"/>
          <w:right w:w="28" w:type="dxa"/>
        </w:tblCellMar>
      </w:tblPr>
      <w:tblGrid>
        <w:gridCol w:w="1830"/>
        <w:gridCol w:w="1608"/>
        <w:gridCol w:w="1632"/>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June 30, </w:t>
            </w:r>
          </w:p>
        </w:tc>
        <w:tc>
          <w:tcPr>
            <w:tcW w:w="1668" w:type="dxa"/>
            <w:gridSpan w:val="6"/>
            <w:tcBorders/>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Cimpress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per share attributable to Cimpress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per share attributable to Cimpress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24,425,018 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24,923,797 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26,151,968 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25,326,614 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25,636,865 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27,004,687 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w:t>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(1) Share-based compensation expense is allocated as follows:</w:t>
      </w:r>
    </w:p>
    <w:tbl>
      <w:tblPr>
        <w:tblW w:w="6924" w:type="dxa"/>
        <w:jc w:val="center"/>
        <w:tblInd w:w="0" w:type="dxa"/>
        <w:tblLayout w:type="fixed"/>
        <w:tblCellMar>
          <w:top w:w="28" w:type="dxa"/>
          <w:left w:w="28" w:type="dxa"/>
          <w:bottom w:w="28" w:type="dxa"/>
          <w:right w:w="28" w:type="dxa"/>
        </w:tblCellMar>
      </w:tblPr>
      <w:tblGrid>
        <w:gridCol w:w="1193"/>
        <w:gridCol w:w="1048"/>
        <w:gridCol w:w="1058"/>
        <w:gridCol w:w="109"/>
        <w:gridCol w:w="109"/>
        <w:gridCol w:w="109"/>
        <w:gridCol w:w="109"/>
        <w:gridCol w:w="224"/>
        <w:gridCol w:w="497"/>
        <w:gridCol w:w="109"/>
        <w:gridCol w:w="109"/>
        <w:gridCol w:w="109"/>
        <w:gridCol w:w="109"/>
        <w:gridCol w:w="224"/>
        <w:gridCol w:w="497"/>
        <w:gridCol w:w="109"/>
        <w:gridCol w:w="109"/>
        <w:gridCol w:w="109"/>
        <w:gridCol w:w="109"/>
        <w:gridCol w:w="224"/>
        <w:gridCol w:w="497"/>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June 30, </w:t>
            </w:r>
          </w:p>
        </w:tc>
        <w:tc>
          <w:tcPr>
            <w:tcW w:w="1202" w:type="dxa"/>
            <w:gridSpan w:val="6"/>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24"/>
        <w:gridCol w:w="1845"/>
        <w:gridCol w:w="187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21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June 30, </w:t>
            </w:r>
          </w:p>
        </w:tc>
        <w:tc>
          <w:tcPr>
            <w:tcW w:w="1520" w:type="dxa"/>
            <w:gridSpan w:val="6"/>
            <w:tcBorders/>
          </w:tcPr>
          <w:p>
            <w:pPr>
              <w:pStyle w:val="TableContents"/>
              <w:bidi w:val="0"/>
              <w:spacing w:before="0" w:after="283"/>
              <w:jc w:val="left"/>
              <w:rPr>
                <w:sz w:val="4"/>
                <w:szCs w:val="4"/>
              </w:rPr>
            </w:pPr>
            <w:r>
              <w:rPr>
                <w:sz w:val="4"/>
                <w:szCs w:val="4"/>
              </w:rPr>
            </w:r>
          </w:p>
        </w:tc>
      </w:tr>
      <w:tr>
        <w:trPr/>
        <w:tc>
          <w:tcPr>
            <w:tcW w:w="5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gains, net of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derivative instruments designated and qualifying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income (loss) to net income for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pension benefit obligations,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 attributable to Cimpress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1758"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35"/>
        <w:gridCol w:w="135"/>
        <w:gridCol w:w="331"/>
        <w:gridCol w:w="330"/>
        <w:gridCol w:w="136"/>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44,316 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(623,145)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pension benefit obligations,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pension benefit obligations,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42,449 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592,315 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(37,969)</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(583,490)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1758"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35"/>
        <w:gridCol w:w="135"/>
        <w:gridCol w:w="331"/>
        <w:gridCol w:w="330"/>
        <w:gridCol w:w="136"/>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(583,490)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due to purchase of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pension benefit obligations,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42,319 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57"/>
        <w:gridCol w:w="1734"/>
        <w:gridCol w:w="173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2157"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30" w:type="dxa"/>
            <w:gridSpan w:val="3"/>
            <w:tcBorders/>
            <w:tcMar>
              <w:top w:w="0" w:type="dxa"/>
              <w:left w:w="0" w:type="dxa"/>
              <w:bottom w:w="0" w:type="dxa"/>
              <w:right w:w="0" w:type="dxa"/>
            </w:tcMar>
            <w:vAlign w:val="center"/>
          </w:tcPr>
          <w:p>
            <w:pPr>
              <w:pStyle w:val="TableContents"/>
              <w:bidi w:val="0"/>
              <w:spacing w:before="180" w:after="283"/>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June 30, </w:t>
            </w:r>
          </w:p>
        </w:tc>
        <w:tc>
          <w:tcPr>
            <w:tcW w:w="1520" w:type="dxa"/>
            <w:gridSpan w:val="6"/>
            <w:tcBorders/>
          </w:tcPr>
          <w:p>
            <w:pPr>
              <w:pStyle w:val="TableContents"/>
              <w:bidi w:val="0"/>
              <w:spacing w:before="0" w:after="283"/>
              <w:jc w:val="left"/>
              <w:rPr>
                <w:sz w:val="4"/>
                <w:szCs w:val="4"/>
              </w:rPr>
            </w:pPr>
            <w:r>
              <w:rPr>
                <w:sz w:val="4"/>
                <w:szCs w:val="4"/>
              </w:rPr>
            </w:r>
          </w:p>
        </w:tc>
      </w:tr>
      <w:tr>
        <w:trPr/>
        <w:tc>
          <w:tcPr>
            <w:tcW w:w="5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derivatives not designated as hedging instruments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monetary assets and liabilities denominated in non-functional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effects of businesses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maturity of held-to-maturity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the settlement of 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issuance of 7.375% Senior Notes due 2032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early redemption or purchase of 7.0% Senior 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borrowings of debt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finance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in connection with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See accompanying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9890" w:type="dxa"/>
        <w:jc w:val="center"/>
        <w:tblInd w:w="0" w:type="dxa"/>
        <w:tblLayout w:type="fixed"/>
        <w:tblCellMar>
          <w:top w:w="28" w:type="dxa"/>
          <w:left w:w="28" w:type="dxa"/>
          <w:bottom w:w="28" w:type="dxa"/>
          <w:right w:w="28" w:type="dxa"/>
        </w:tblCellMar>
      </w:tblPr>
      <w:tblGrid>
        <w:gridCol w:w="2028"/>
        <w:gridCol w:w="1782"/>
        <w:gridCol w:w="1785"/>
        <w:gridCol w:w="109"/>
        <w:gridCol w:w="109"/>
        <w:gridCol w:w="155"/>
        <w:gridCol w:w="155"/>
        <w:gridCol w:w="431"/>
        <w:gridCol w:w="395"/>
        <w:gridCol w:w="155"/>
        <w:gridCol w:w="155"/>
        <w:gridCol w:w="155"/>
        <w:gridCol w:w="155"/>
        <w:gridCol w:w="431"/>
        <w:gridCol w:w="395"/>
        <w:gridCol w:w="155"/>
        <w:gridCol w:w="109"/>
        <w:gridCol w:w="109"/>
        <w:gridCol w:w="109"/>
        <w:gridCol w:w="413"/>
        <w:gridCol w:w="413"/>
        <w:gridCol w:w="187"/>
      </w:tblGrid>
      <w:tr>
        <w:trPr/>
        <w:tc>
          <w:tcPr>
            <w:tcW w:w="20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June 30,</w:t>
            </w:r>
          </w:p>
        </w:tc>
        <w:tc>
          <w:tcPr>
            <w:tcW w:w="1340" w:type="dxa"/>
            <w:gridSpan w:val="6"/>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received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acquired under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business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1. Description of the Business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Cimpress helps millions of businesses build brands, stand out, and grow via customized physical marketing products and branded merchandise. Cimpress is the global leader in web-to-print mass customization, delivering high-quality, affordable custom products quickly and conveniently—even in low quantities.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Arial;sans-serif" w:hAnsi="Arial;sans-serif"/>
          <w:b/>
          <w:color w:val="000000"/>
          <w:sz w:val="20"/>
        </w:rPr>
        <w:t>2.</w:t>
      </w:r>
      <w:r>
        <w:rPr>
          <w:color w:val="000000"/>
        </w:rPr>
        <w:t xml:space="preserve"> </w:t>
      </w:r>
      <w:r>
        <w:rPr>
          <w:rFonts w:ascii="Arial;sans-serif" w:hAnsi="Arial;sans-serif"/>
          <w:b/>
          <w:color w:val="000000"/>
          <w:sz w:val="20"/>
        </w:rPr>
        <w:t>Summary of Significant Accounting Policies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220" w:after="283"/>
        <w:ind w:left="0" w:right="0" w:firstLine="720"/>
        <w:jc w:val="left"/>
        <w:rPr/>
      </w:pPr>
      <w:r>
        <w:rPr>
          <w:rFonts w:ascii="Arial;sans-serif" w:hAnsi="Arial;sans-serif"/>
          <w:b w:val="false"/>
          <w:color w:val="000000"/>
          <w:sz w:val="20"/>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$578</w:t>
      </w:r>
      <w:r>
        <w:rPr>
          <w:color w:val="EE2724"/>
        </w:rPr>
        <w:t xml:space="preserve"> </w:t>
      </w:r>
      <w:r>
        <w:rPr>
          <w:rFonts w:ascii="Arial;sans-serif" w:hAnsi="Arial;sans-serif"/>
          <w:b w:val="false"/>
          <w:color w:val="000000"/>
          <w:sz w:val="20"/>
        </w:rPr>
        <w:t>and $569 as of June 30, 2026 and 2025, respectively, and are included in other assets in the accompanying consolidated balance sheets.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bank accounts that are overdrawn at the end of a reporting period, including any net negative balance in our notional cash pool, we reclassify these overdrafts to short-term debt on our consolidated balance sheets. Book overdrafts that result from outstanding checks in excess of our bank balance are reclassified to other current liabilities.</w:t>
      </w:r>
    </w:p>
    <w:p>
      <w:pPr>
        <w:pStyle w:val="TextBody"/>
        <w:bidi w:val="0"/>
        <w:spacing w:lineRule="auto" w:line="268" w:before="220" w:after="283"/>
        <w:jc w:val="left"/>
        <w:rPr>
          <w:rFonts w:ascii="Arial;sans-serif" w:hAnsi="Arial;sans-serif"/>
          <w:b/>
          <w:color w:val="000000"/>
          <w:sz w:val="20"/>
        </w:rPr>
      </w:pPr>
      <w:r>
        <w:rPr>
          <w:rFonts w:ascii="Arial;sans-serif" w:hAnsi="Arial;sans-serif"/>
          <w:b/>
          <w:color w:val="000000"/>
          <w:sz w:val="20"/>
        </w:rPr>
        <w:t>Accounts Receivable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Inventories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Inventories consist primarily of raw materials and are recorded at the lower of cost or net realizable value using the first-in, first-out method. Costs to produce products are included in cost of revenues as incurred.</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Property, Plant and Equipment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Software and Website Development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capitalize eligible salaries and payroll-related costs of employees and third-party consultants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pStyle w:val="TextBody"/>
        <w:bidi w:val="0"/>
        <w:spacing w:lineRule="auto" w:line="288" w:before="220" w:after="283"/>
        <w:ind w:left="0" w:right="0" w:firstLine="720"/>
        <w:jc w:val="left"/>
        <w:rPr/>
      </w:pPr>
      <w:r>
        <w:rPr>
          <w:rFonts w:ascii="Arial;sans-serif" w:hAnsi="Arial;sans-serif"/>
          <w:b w:val="false"/>
          <w:color w:val="000000"/>
          <w:sz w:val="20"/>
        </w:rPr>
        <w:t>Amortization of previously capitalized amounts in the years ended June 30, 2026, 2025, and 2024 was $66,551</w:t>
      </w:r>
      <w:r>
        <w:rPr>
          <w:rFonts w:ascii="Arial;sans-serif" w:hAnsi="Arial;sans-serif"/>
          <w:b w:val="false"/>
          <w:i/>
          <w:color w:val="000000"/>
          <w:sz w:val="20"/>
        </w:rPr>
        <w:t xml:space="preserve">, </w:t>
      </w:r>
      <w:r>
        <w:rPr>
          <w:rFonts w:ascii="Arial;sans-serif" w:hAnsi="Arial;sans-serif"/>
          <w:b w:val="false"/>
          <w:color w:val="000000"/>
          <w:sz w:val="20"/>
        </w:rPr>
        <w:t>$62,775, and</w:t>
      </w:r>
      <w:r>
        <w:rPr>
          <w:color w:val="000000"/>
        </w:rPr>
        <w:t xml:space="preserve"> </w:t>
      </w:r>
      <w:r>
        <w:rPr>
          <w:rFonts w:ascii="Arial;sans-serif" w:hAnsi="Arial;sans-serif"/>
          <w:b w:val="false"/>
          <w:color w:val="000000"/>
          <w:sz w:val="20"/>
        </w:rPr>
        <w:t>$62,590, respectively, resulting in accumulated amortization of $398,232 and $345,692 at June 30, 2026 and 2025, respectively.</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is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Long-Lived Assets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Business Combinations</w:t>
      </w:r>
    </w:p>
    <w:p>
      <w:pPr>
        <w:pStyle w:val="TextBody"/>
        <w:bidi w:val="0"/>
        <w:spacing w:lineRule="auto" w:line="288" w:before="220" w:after="283"/>
        <w:jc w:val="left"/>
        <w:rPr>
          <w:color w:val="000000"/>
        </w:rPr>
      </w:pPr>
      <w:r>
        <w:rPr>
          <w:color w:val="000000"/>
        </w:rPr>
        <w:t>    </w:t>
      </w:r>
      <w:r>
        <w:rPr>
          <w:rFonts w:ascii="Arial;sans-serif" w:hAnsi="Arial;sans-serif"/>
          <w:b w:val="false"/>
          <w:color w:val="000000"/>
          <w:sz w:val="20"/>
        </w:rPr>
        <w:t xml:space="preserve">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pStyle w:val="TextBody"/>
        <w:bidi w:val="0"/>
        <w:spacing w:lineRule="auto" w:line="288" w:before="220" w:after="283"/>
        <w:jc w:val="left"/>
        <w:rPr>
          <w:color w:val="000000"/>
        </w:rPr>
      </w:pPr>
      <w:r>
        <w:rPr>
          <w:color w:val="000000"/>
        </w:rPr>
        <w:t>    </w:t>
      </w:r>
      <w:r>
        <w:rPr>
          <w:rFonts w:ascii="Arial;sans-serif" w:hAnsi="Arial;sans-serif"/>
          <w:b w:val="false"/>
          <w:color w:val="000000"/>
          <w:sz w:val="20"/>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a reporting unit’s goodwill exceeds its implied fair value, then we record an impairment loss equal to the difference.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recognized no goodwill impairment charges during the years ended June 30, 2026, 2025, and 2024. Refer to Note 8 for additional details regarding the annual goodwill impairment test.</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Noncontrolling Interests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subsidiaries where we own a controlling equity stake and a third party owns a minority portion, the balance sheet and operating activity are included in our consolidated financial statements, and we adjust net income in our consolidated statement of operations to exclude the noncontrolling interests' proportionate share of results. We classify these noncontrolling interests within our consolidated balance sheets based on the following:</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When noncontrolling interests are not subject to any redemption provisions that are outside of our control, we initially recognize these noncontrolling interests at fair value on the sale or acquisition date as part of permanent equity in shareholders deficit within our consolidated balance sheets.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When noncontrolling interests are subject to a redemption provision that is outside of our control, we recognize these noncontrolling interests as temporary equity as part of redeemable noncontrolling interests within our consolidated balance sheets. We recognize these redeemable noncontrolling interests at fair value on the sale or acquisition date and adjust to the redemption value on a periodic basis with the offset to retained earnings. If the formulaic redemption value exceeds the fair value of the noncontrolling interest, the accretion to redemption value is recognized in net (income) loss attributable to noncontrolling interest in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Noncontrolling interests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is to be redeemed via the transfer of assets. Mandatorily redeemable noncontrolling interests are presented as liability-based financial instruments and are re-measured on a recurring basis to the expected redemption value as part of interest expense, net in our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Debt Issuance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Costs associated with the issuance of debt instruments are capitalized and amortized over the term of the respective financing arrangement on a straight-line basis through the maturity date of the related debt instrument. We evaluate all changes to our debt arrangements to determine whether the changes represent a modification or extinguishment to the old debt arrangement. If a debt instrument is deemed to be modified, we capitalize all new lender fees and expense all third-party fees. If we determine that an extinguishment of one of our debt instruments has occurred, the unamortized financing fees associated with the extinguished instrument are expensed. For the revolving loans associated with our senior secured credit facility, all lender and third-party fees are capitalized, and in the event an amendment reduces the committed capacity under the revolving loans, we expense a portion of any unamortized fees on a pro-rata basis in proportion to the decrease in the committed capacity.</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Derivative Financial Instruments</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and ineffective portion of the change in the fair value of the hedging derivative is initially recorded in accumulated other comprehensive loss. The portion of gain or loss on the derivative instrument previously recorded in accumulated other comprehensive loss remains in accumulated other comprehensive loss until the forecasted transaction is recognized in earnings. For derivatives designated as cash flow hedges, we present the settlement amount of these contracts within cash from operating activities in our consolidated statement of cash flows, if the hedged item continues after contract settlement.</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Derivatives designated and qualifying as hedges of currency exposure of a net investment in a foreign operation are considered net investment hedges, which could include cross-currency swap and currency forward contracts as well as intercompany loans. In hedging the currency exposure of a net investment in a foreign operation, the effective and ineffective portion of gains and losses on the hedging instruments is recognized in accumulated other comprehensive loss as part of currency translation adjustment. The portion of gain or loss on the derivative instrument previously recorded in accumulated other comprehensive loss remains in accumulated other comprehensive loss until we reduce our investment in the hedged foreign operation through a sale or substantial liquidation.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income (expense), net.</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Shareholders' Deficit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Ordinary and Treasury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Treasury shares are accounted for using the cost method and are included as a component of shareholders' equity. Our various share-based compensation programs entitle recipients to receive issuances of Cimpress ordinary shares upon the vesting of awards which meet applicable performance criteria. We reissue treasury shares as part of our share-based compensation programs and as consideration for some of our acquisition transactions. Upon issuance of treasury shares in conjunction with these programs, we determined the cost using the average cost method. We issue new ordinary shares to meet the needs of our share-based compensation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retire ordinary shares from time to time. Upon retirement, these shares become classified as authorized and unissued shares. The retirement of ordinary shares are accounted for as a reduction to the nominal value of our ordinary shares outstanding and additional paid in capital in proportion to the amount of total shares outstanding, with the remaining repurchase value recognized as a reduction to retained earnings.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Comprehensive income is defined as the change in equity of a business enterprise during a period from transactions and other events and circumstances from non-owner sources. Comprehensive income is composed of net income, unrealized gains and losses on derivatives, unrealized gains and losses on pension benefit obligations, and cumulative foreign currency translation adjustments, which are included in the accompanying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bifurcate and separately account for a detachable warrant as a separate equity instrument. The value assigned to the warrants was determined based on a relative fair value allocation between the warrants and related debt. The fair value of the warrants was determined using a Monte Carlo valuation and applying a discount for the lack of marketability for the warrants. We present the allocated value for the warrants within additional paid-in capital in our consolidated balance sheet. Refer to Note 11 for additional details.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generate revenue primarily from the sale and shipment of physical printed products. We also generate revenue, to a much lesser extent (and primarily in our VistaPrint business) from digital services, website design and hosting, professional design services,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 For design service arrangements, we recognize revenue when the services are complete. A portion of this revenue relates to design contests in which we have determined that we are the principal in the arrangement as we satisfy our contractual performance obligation to provide the customer with the benefit of our platform and network of designers.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 We record revenue net of taxes collected from customers that are remitted to governmental authorities.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record deferred revenue when cash payments are received in advance of our satisfaction of the related performance obligation. The satisfaction of performance obligations generally occurs shortly after cash payment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expect to recognize the majority of our deferred revenue balance as revenue within three months subsequent to our fiscal year end.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elected to expense incremental direct costs as incurred, which primarily includes sales commissions, since our contract periods generally are less than one year and the related performance obligations are satisfied within a short period of time. </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Restructuring</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jurisdictions in which there are statutorily required minimum benefits for involuntary terminations, severance benefits are documented in an employee manual or labor contract, or are consistent with prior restructuring plan benefits, we evaluate these benefits as ongoing benefit arrangements. We recognize the liability for these arrangements when it is probable that the employee would be entitled to the benefits and the amounts can be reasonably estimated. The expense timing generally occurs when management has committed to and approved the restructuring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Involuntary termination benefits that are in excess of statutory minimum requirements and prior restructuring plan benefits are recognized as termination benefits and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Advertising Expense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Our advertising costs are primarily expensed as incurred and included in marketing and selling expense. Advertising expense for the years ended June 30, 2026, 2025, and 2024</w:t>
      </w:r>
      <w:r>
        <w:rPr>
          <w:color w:val="EE2724"/>
        </w:rPr>
        <w:t xml:space="preserve"> </w:t>
      </w:r>
      <w:r>
        <w:rPr>
          <w:rFonts w:ascii="Arial;sans-serif" w:hAnsi="Arial;sans-serif"/>
          <w:b w:val="false"/>
          <w:color w:val="000000"/>
          <w:sz w:val="20"/>
        </w:rPr>
        <w:t>was $467,750, $446,343, and $436,494, respectively, which consisted of external costs related to customer acquisition and retention marketing campaigns.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Research and Development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Arial;sans-serif" w:hAnsi="Arial;sans-serif"/>
          <w:b w:val="false"/>
          <w:color w:val="000000"/>
          <w:sz w:val="20"/>
        </w:rPr>
        <w:t>Research and development costs are expensed as incurred and included in technology and development expense. Research and development expense for the years ended June 30, 2026, 2025, and 2024</w:t>
      </w:r>
      <w:r>
        <w:rPr>
          <w:color w:val="EE2724"/>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$68,603, $65,003, and $62,655, respectively, which consisted of costs related to enhancing our manufacturing engineering and technology capabilities.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adjust our estimates in the future, we may need to increase or decrease income tax expense, which could have a material impact on our financial position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may reduce our effective tax rate if recognized. Interest and, if applicable, penalties related to unrecognized tax benefits are recorded in the provision for income taxes. Stranded income tax effects in accumulated other comprehensive loss are released on an item-by-item basis based on when the applicable derivative is recognized in earnings.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Currency Translation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Other Income (Expense), Net</w:t>
      </w:r>
    </w:p>
    <w:p>
      <w:pPr>
        <w:pStyle w:val="TextBody"/>
        <w:bidi w:val="0"/>
        <w:spacing w:lineRule="auto" w:line="288" w:before="220" w:after="283"/>
        <w:ind w:left="0" w:right="0" w:firstLine="720"/>
        <w:jc w:val="left"/>
        <w:rPr/>
      </w:pPr>
      <w:r>
        <w:rPr>
          <w:rFonts w:ascii="Arial;sans-serif" w:hAnsi="Arial;sans-serif"/>
          <w:b w:val="false"/>
          <w:color w:val="000000"/>
          <w:sz w:val="20"/>
        </w:rPr>
        <w:t xml:space="preserve">The following table summarizes the components of </w:t>
      </w:r>
      <w:r>
        <w:rPr>
          <w:rFonts w:ascii="Arial;sans-serif" w:hAnsi="Arial;sans-serif"/>
          <w:b w:val="false"/>
          <w:color w:val="000000"/>
          <w:sz w:val="18"/>
        </w:rPr>
        <w:t>other income (expense), net</w:t>
      </w:r>
      <w:r>
        <w:rPr>
          <w:rFonts w:ascii="Arial;sans-serif" w:hAnsi="Arial;sans-serif"/>
          <w:b w:val="false"/>
          <w:color w:val="000000"/>
          <w:sz w:val="20"/>
        </w:rPr>
        <w:t>.</w:t>
      </w:r>
    </w:p>
    <w:tbl>
      <w:tblPr>
        <w:tblW w:w="9747" w:type="dxa"/>
        <w:jc w:val="center"/>
        <w:tblInd w:w="0" w:type="dxa"/>
        <w:tblLayout w:type="fixed"/>
        <w:tblCellMar>
          <w:top w:w="28" w:type="dxa"/>
          <w:left w:w="28" w:type="dxa"/>
          <w:bottom w:w="28" w:type="dxa"/>
          <w:right w:w="28" w:type="dxa"/>
        </w:tblCellMar>
      </w:tblPr>
      <w:tblGrid>
        <w:gridCol w:w="2156"/>
        <w:gridCol w:w="1894"/>
        <w:gridCol w:w="1905"/>
        <w:gridCol w:w="211"/>
        <w:gridCol w:w="721"/>
        <w:gridCol w:w="109"/>
        <w:gridCol w:w="109"/>
        <w:gridCol w:w="109"/>
        <w:gridCol w:w="109"/>
        <w:gridCol w:w="211"/>
        <w:gridCol w:w="796"/>
        <w:gridCol w:w="109"/>
        <w:gridCol w:w="109"/>
        <w:gridCol w:w="109"/>
        <w:gridCol w:w="109"/>
        <w:gridCol w:w="211"/>
        <w:gridCol w:w="616"/>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derivatives not designated as hedging instruments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Currency-related (losses) gains, net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Includes realized and unrealized gains and losses on derivative currency forward and option contracts not designated as hedging instruments, as well as the ineffective portion of certain interest rate swap contracts that have been de-designated from hedge accounting. For contracts not designated as hedging instruments, we realized (losses) gains of ($14,169), $2,706 and $(1,078), respectively, for the fiscal years ended June 30, 2026, 2025, and 2024. Refer to Note 4 for additional details relating to our derivative contracts.</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Currency-related (losses) gains, net primarily relates to significant non-functional currency intercompany financing relationships that we may change at times and are subject to currency exchange rate volatility. In addition, during all fiscal years presented, we had certain cross-currency swaps designated as cash flow hedges, which hedge the remeasurement of certain intercompany loans; refer to Note 4 for additional details relating to these cash flow hedges.</w:t>
      </w:r>
    </w:p>
    <w:p>
      <w:pPr>
        <w:pStyle w:val="TextBody"/>
        <w:bidi w:val="0"/>
        <w:spacing w:lineRule="auto" w:line="288" w:before="220" w:after="283"/>
        <w:ind w:left="0" w:right="0" w:hanging="270"/>
        <w:jc w:val="left"/>
        <w:rPr>
          <w:rFonts w:ascii="Arial;sans-serif" w:hAnsi="Arial;sans-serif"/>
          <w:b/>
          <w:color w:val="000000"/>
          <w:sz w:val="20"/>
        </w:rPr>
      </w:pPr>
      <w:r>
        <w:rPr>
          <w:rFonts w:ascii="Arial;sans-serif" w:hAnsi="Arial;sans-serif"/>
          <w:b/>
          <w:color w:val="000000"/>
          <w:sz w:val="20"/>
        </w:rPr>
        <w:t>Net Income Per Share Attributable to Cimpress plc</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Basic net income per share attributable to Cimpress plc is computed by dividing net income attributable to Cimpress plc by the weighted-average number of ordinary shares outstanding for the respective period. Diluted net income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the weighted-average number of ordinary shares.</w:t>
      </w:r>
    </w:p>
    <w:tbl>
      <w:tblPr>
        <w:tblW w:w="10205" w:type="dxa"/>
        <w:jc w:val="left"/>
        <w:tblInd w:w="0" w:type="dxa"/>
        <w:tblLayout w:type="fixed"/>
        <w:tblCellMar>
          <w:top w:w="28" w:type="dxa"/>
          <w:left w:w="28" w:type="dxa"/>
          <w:bottom w:w="28" w:type="dxa"/>
          <w:right w:w="28" w:type="dxa"/>
        </w:tblCellMar>
      </w:tblPr>
      <w:tblGrid>
        <w:gridCol w:w="1938"/>
        <w:gridCol w:w="1701"/>
        <w:gridCol w:w="1710"/>
        <w:gridCol w:w="109"/>
        <w:gridCol w:w="109"/>
        <w:gridCol w:w="121"/>
        <w:gridCol w:w="121"/>
        <w:gridCol w:w="540"/>
        <w:gridCol w:w="541"/>
        <w:gridCol w:w="136"/>
        <w:gridCol w:w="121"/>
        <w:gridCol w:w="121"/>
        <w:gridCol w:w="121"/>
        <w:gridCol w:w="540"/>
        <w:gridCol w:w="541"/>
        <w:gridCol w:w="136"/>
        <w:gridCol w:w="109"/>
        <w:gridCol w:w="109"/>
        <w:gridCol w:w="109"/>
        <w:gridCol w:w="540"/>
        <w:gridCol w:w="541"/>
        <w:gridCol w:w="191"/>
      </w:tblGrid>
      <w:tr>
        <w:trPr/>
        <w:tc>
          <w:tcPr>
            <w:tcW w:w="193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599" w:type="dxa"/>
            <w:gridSpan w:val="6"/>
            <w:tcBorders/>
          </w:tcPr>
          <w:p>
            <w:pPr>
              <w:pStyle w:val="TableContents"/>
              <w:bidi w:val="0"/>
              <w:spacing w:before="0" w:after="283"/>
              <w:jc w:val="left"/>
              <w:rPr>
                <w:sz w:val="4"/>
                <w:szCs w:val="4"/>
              </w:rPr>
            </w:pPr>
            <w:r>
              <w:rPr>
                <w:sz w:val="4"/>
                <w:szCs w:val="4"/>
              </w:rPr>
            </w:r>
          </w:p>
        </w:tc>
      </w:tr>
      <w:tr>
        <w:trPr/>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24,425,018 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24,923,797 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26,151,968 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issuable upon exercise/vesting of outstanding share options/RSUs/PSUs/warrants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901,596 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713,068 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852,719 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computing diluted net income per share attributable to Cimpress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25,326,614 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25,636,865 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27,004,687 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anti-dilutive shares excluded from diluted net income per share attributable to Cimpress plc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729,928 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1,001,612 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96,207 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On May 1, 2020, we entered into a financing arrangement, which included 7-year warrants to purchase 1,055,377 of our ordinary shares with a strike price of $60. The effect of the warrants on our weighted-average shares outstanding for a period is dilutive if the average market price of our ordinary shares during the period was higher than the strike price of the warrants and anti-dilutive if the average market price of our ordinary shares during the period was lower than the strike price of the warrants. </w:t>
      </w:r>
    </w:p>
    <w:p>
      <w:pPr>
        <w:pStyle w:val="TextBody"/>
        <w:bidi w:val="0"/>
        <w:spacing w:lineRule="auto" w:line="288" w:before="220" w:after="283"/>
        <w:ind w:left="0" w:right="0" w:hanging="270"/>
        <w:jc w:val="left"/>
        <w:rPr>
          <w:rFonts w:ascii="Arial;sans-serif" w:hAnsi="Arial;sans-serif"/>
          <w:b/>
          <w:color w:val="000000"/>
          <w:sz w:val="20"/>
        </w:rPr>
      </w:pPr>
      <w:r>
        <w:rPr>
          <w:rFonts w:ascii="Arial;sans-serif" w:hAnsi="Arial;sans-serif"/>
          <w:b/>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The fair value of RSUs is determined based on the quoted price of our ordinary shares on the date of the grant. Such value is recognized ratably as expense over the requisite service period, or on an accelerated method for awards with a performance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have issued PSUs that include a service condition as well as a market or performance condition, and we calculate the fair value at grant, which is fixed throughout the vesting period. For PSUs that include a market condition, the fair value is determined using a Monte Carlo simulation valuation model and the expense recognized over the requisite service period will not be reversed if the market condition is not achieved. For PSUs that include a performance condition, compensation cost is recorded if it is probable that the performance condition will be achieved. The fair value is determined based on the quoted price of our ordinary shares on the date of the grant and our estimated attainment percentage of the related performance condition. The related expense is recognized using the accelerated expense attribution method over the requisite service period for each separately vesting portion of the award. Until the performance condition is measured, changes in the estimated attainment percentages may cause expense volatility since a cumulative expense adjustment will be recognized in the period a change occurs.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Sabbatical Leave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Concentrations of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monitor the creditworthiness of our customers to which we grant credit terms in the normal course of business. We do not have any customers that accounted for greater than 10% of our accounts receivable as of June 30, 2026 and 2025. We do not have any customers that accounted for greater than 10% of our revenue for the years ended June 30, 2026, 2025, and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maintain an allowance for doubtful accounts for potential credit losses based upon specific customer accounts and historical trends, and such losses to date in the aggregate have not materially exceeded our expectations.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Accounting</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determine if an arrangement contains a lease at contract inception. We consider an arrangement to be a lease if it conveys the right to control an identifiable asset for a period of time. Costs for operating leases that include incentives such as payment escalations or rent abatement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lease term, excluding renewal periods.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Lease right-of-use ("ROU") assets and liabilities for operating and finance leases are recognized based on the present value of the future lease payments over the lease term at lease commencement date. As most of our leases do not provide an implicit interest rate, we use our incremental borrowing rate based on the information available at the lease commencement date. Our incremental borrowing rate approximates the interest rate on a collateralized basis for the economic environments where our leased assets are located, and is established by considering the credit spread associated with our existing debt arrangements, as well as observed market rates for instruments with a similar term to that of the lease payments. ROU assets also include any lease payments made at or before the lease commencement, as well as any initial direct costs incurred. Lease incentives received from the lessor are recognized as a reduction to the ROU asset.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initial determination of the lease term is based on the facts and circumstances that exist at lease commencement. The lease term may include the effect of options to extend or terminate the lease when it is reasonably certain that those options will be exercised. We consider these options reasonably certain to be exercised based on our assessment of economic incentives, including the fair market rent for equivalent properties under similar terms and conditions, costs of relocating, availability of comparable replacement assets, and any related disruption to operations that would be experienced by not renewing the lease.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Finance leases are accounted for as an acquisition of an asset and incurrence of an obligation. Assets held under finance leases are recorded at the lower of the present value of the minimum lease payments or the fair value of the leased asset at the inception of the lease, and amortized over the useful life of the asset. The corresponding finance lease obligation is recorded at the present value of the minimum lease payments at inception of the lease.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Operating leases are included in operating lease assets and current and non-current operating lease liabilities in the consolidated balance sheets. Finance lease assets are included in property, plant, and equipment, net, and the related liabilities are included in other current liabilities and other liabilities in the consolidated balance sheets.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Variable lease payments are excluded from the operating lease assets and liabilities and are recognized as expense in the period in which the obligation is incurred. Variable lease payments primarily include index-based rent escalation associated with some of our real estate leases, as well as property taxes and common area maintenance payments for most real estate leases, which are determined based on the costs incurred by the lessor. We also make variable lease payments for certain print equipment leases that are determined based on production volumes.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subleased a small amount of our equipment and real estate lease portfolio to third parties, making us the lessor. Most of these subleases meet the criteria for operating lease classification and the related sublease income is recognized on a straight-line basis over the lease term within the consolidated statement of operations. To a lesser extent, we have leases in which we are the lessees and we classify the leases as finance leases which have been subleased under similar terms, resulting in the sublease classification as direct financing leases. For direct financing leases, we recognize a sublease receivable within prepaid expenses and other current assets and other assets in the consolidated balance sheets.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before="0" w:after="0"/>
        <w:jc w:val="left"/>
        <w:rPr/>
      </w:pPr>
      <w:r>
        <w:rPr/>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As required, we've adopted the standard in the current fiscal year on a retrospective basis for all periods presented and incorporated all expanded disclosure requirements in Note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Accounting Standards to be Adopted</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 November 2025, the Financial Accounting Standards Board ("FASB") issued Accounting Standards Update No. 2025-09 "Derivatives and Hedging (Topic 815): Hedge Accounting Improvements" (ASU 2025-09), which more closely aligns hedge accounting with the economics of an entity’s risk management activities. The standard will be effective starting with our annual report for the fiscal year ending June 30, 2028, as well as each interim period within that fiscal year.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 September 2025, the FASB issued Accounting Standards Update No. 2025-06 "Intangibles - Goodwill and Other - Internal-Use Software (Subtopic 350-40): Targeted Improvements to the Accounting for Internal-Use Software" (ASU 2025-06), which modernizes the accounting guidance for internal-use software costs and requires capitalization of software costs to begin when (1) management has authorized and committed to funding the software project and (2) it is probable that the project will be completed and the software will be used to perform the function intended. The standard will be effective starting with our annual report for the fiscal year ending June 30, 2029, as well as each interim period within that fiscal year.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 effective starting with our annual report for the fiscal year ending June 30, 2028, as well as each interim period thereafter. Early adoption is permitted, but we do not intend to early adopt this standard. We do not expect the adoption of this standard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Inputs to the valuation methodology are quoted prices (unadjusted) for identical assets or liabilities in active markets.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Inputs to the valuation methodology include quoted prices for similar assets and liabilities in active markets, quoted prices for identical or similar assets in markets that are not active and inputs that are observable for the asset or liability, either directly or indirectly, for substantially the full term of the financial instrument.</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Inputs to the valuation methodology are unobservable and significant to the fair value measurement.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left"/>
        <w:rPr/>
      </w:pPr>
      <w:r>
        <w:rPr/>
      </w:r>
    </w:p>
    <w:tbl>
      <w:tblPr>
        <w:tblW w:w="8638" w:type="dxa"/>
        <w:jc w:val="left"/>
        <w:tblInd w:w="0" w:type="dxa"/>
        <w:tblLayout w:type="fixed"/>
        <w:tblCellMar>
          <w:top w:w="28" w:type="dxa"/>
          <w:left w:w="28" w:type="dxa"/>
          <w:bottom w:w="28" w:type="dxa"/>
          <w:right w:w="28" w:type="dxa"/>
        </w:tblCellMar>
      </w:tblPr>
      <w:tblGrid>
        <w:gridCol w:w="1104"/>
        <w:gridCol w:w="972"/>
        <w:gridCol w:w="984"/>
        <w:gridCol w:w="211"/>
        <w:gridCol w:w="796"/>
        <w:gridCol w:w="109"/>
        <w:gridCol w:w="109"/>
        <w:gridCol w:w="109"/>
        <w:gridCol w:w="109"/>
        <w:gridCol w:w="344"/>
        <w:gridCol w:w="663"/>
        <w:gridCol w:w="178"/>
        <w:gridCol w:w="109"/>
        <w:gridCol w:w="109"/>
        <w:gridCol w:w="109"/>
        <w:gridCol w:w="241"/>
        <w:gridCol w:w="910"/>
        <w:gridCol w:w="124"/>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38" w:type="dxa"/>
        <w:jc w:val="left"/>
        <w:tblInd w:w="0" w:type="dxa"/>
        <w:tblLayout w:type="fixed"/>
        <w:tblCellMar>
          <w:top w:w="28" w:type="dxa"/>
          <w:left w:w="28" w:type="dxa"/>
          <w:bottom w:w="28" w:type="dxa"/>
          <w:right w:w="28" w:type="dxa"/>
        </w:tblCellMar>
      </w:tblPr>
      <w:tblGrid>
        <w:gridCol w:w="1104"/>
        <w:gridCol w:w="972"/>
        <w:gridCol w:w="984"/>
        <w:gridCol w:w="211"/>
        <w:gridCol w:w="796"/>
        <w:gridCol w:w="109"/>
        <w:gridCol w:w="109"/>
        <w:gridCol w:w="109"/>
        <w:gridCol w:w="109"/>
        <w:gridCol w:w="344"/>
        <w:gridCol w:w="663"/>
        <w:gridCol w:w="178"/>
        <w:gridCol w:w="109"/>
        <w:gridCol w:w="109"/>
        <w:gridCol w:w="109"/>
        <w:gridCol w:w="241"/>
        <w:gridCol w:w="910"/>
        <w:gridCol w:w="124"/>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years ended June 30, 2026 and 2025, there were no significant transfers in or out of Level 1, Level 2, and Level 3 classifications.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In the fair value measurements, we incorporate credit valuation adjustments to appropriately reflect both our own nonperformance risk and the respective counterparties' nonperformance risk, and in doing so, we have considered the impact of netting and any applicable credit enhancements.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2026, we have assessed the impact of the credit valuation adjustments and determined that it is not significant to the overall valuation of our derivatives and, as a result, that our derivative valuations in their entirety are classified in Level 2 in the fair value hierarchy.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and 2025, the carrying amounts of our cash and cash equivalents, accounts receivable, accounts payable, and other current liabilities approximated their estimated fair values. As of June 30, 2026 and 2025, the carrying value of our debt, excluding debt issuance costs and debt premiums and discounts, was $1,636,404 and $1,604,513, respectively, and the fair value was $1,643,976 and $1,582,599, respectively. Our debt at June 30, 2026 includes variable-rate debt instruments indexed to Term SOFR that reset periodically, as well as fixed-rate debt instruments. The estimated fair value of our debt was determined using available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information based on recent trades or activity of debt instruments with substantially similar risks, terms and maturities, which fall within Level 2 under the fair value hierarchy.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estimated fair value of assets and liabilities disclosed above may not be representative of actual values that could have been or will be realized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4. Derivative Financial Instruments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(expense), net.</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Hedges of Interest Rate Risk</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we estimate that $6,387 of income will be reclassified from accumulated other comprehensive loss to interest expense, net during the twelve months ending June 30, 2027. As of June 30, 2026, we had six effective outstanding interest rate swap contracts that were indexed to Term or Daily SOFR. Our interest rate swap contracts have varying start and maturity dates through April 2028. </w:t>
      </w:r>
    </w:p>
    <w:tbl>
      <w:tblPr>
        <w:tblW w:w="6146" w:type="dxa"/>
        <w:jc w:val="center"/>
        <w:tblInd w:w="0" w:type="dxa"/>
        <w:tblLayout w:type="fixed"/>
        <w:tblCellMar>
          <w:top w:w="28" w:type="dxa"/>
          <w:left w:w="28" w:type="dxa"/>
          <w:bottom w:w="28" w:type="dxa"/>
          <w:right w:w="28" w:type="dxa"/>
        </w:tblCellMar>
      </w:tblPr>
      <w:tblGrid>
        <w:gridCol w:w="1527"/>
        <w:gridCol w:w="1342"/>
        <w:gridCol w:w="1346"/>
        <w:gridCol w:w="109"/>
        <w:gridCol w:w="109"/>
        <w:gridCol w:w="109"/>
        <w:gridCol w:w="284"/>
        <w:gridCol w:w="1113"/>
        <w:gridCol w:w="207"/>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swap contracts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Amounts</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accruing interest as of June 30, 2026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with a future start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Based on contracts outstanding as of June 30, 2026, the notional value of our contracted interest rate swaps accruing interest will fluctuate between $320,000 and $380,000 through April 2028 based on layered start dates and maturities.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 xml:space="preserve">Hedges of Currency Risk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Cross-Currency Swap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Cross-currency swap contracts designated as net investment hedges are executed to mitigate our currency exposure of net investments in subsidiaries that have reporting currencies other than the U.S. dollar.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Currency Hedges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As of June 30, 2026, we had one currency forward contract designated as a net investment hedge with a notional amount of $30,319, maturing during December 2027. The impact of net investment hedges is recognized in accumulated other comprehensive loss as a component of translation adjustments, net of hedges, and would only be reclassified to earnings if the hedged subsidiaries were no longer consolidated entities.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not apply hedge accounting for all other currency forward and option contracts. During the years ended June 30, 2026, 2025, and 2024, we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10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we had the following outstanding currency derivative contracts that were not designated for hedge accounting and were primarily used to hedge fluctuations in the U.S. dollar value of forecasted transactions or balances denominated in the Australian Dollar, Canadian Dollar, Czech Koruna, Danish Krone, Euro, GBP, Indian Rupee, Mexican Peso, New Zealand Dollar, Norwegian Krone, Philippine Peso, Swiss Franc and Swedish Krona: </w:t>
      </w:r>
    </w:p>
    <w:tbl>
      <w:tblPr>
        <w:tblW w:w="10205" w:type="dxa"/>
        <w:jc w:val="left"/>
        <w:tblInd w:w="0" w:type="dxa"/>
        <w:tblLayout w:type="fixed"/>
        <w:tblCellMar>
          <w:top w:w="28" w:type="dxa"/>
          <w:left w:w="28" w:type="dxa"/>
          <w:bottom w:w="28" w:type="dxa"/>
          <w:right w:w="28" w:type="dxa"/>
        </w:tblCellMar>
      </w:tblPr>
      <w:tblGrid>
        <w:gridCol w:w="537"/>
        <w:gridCol w:w="425"/>
        <w:gridCol w:w="427"/>
        <w:gridCol w:w="109"/>
        <w:gridCol w:w="109"/>
        <w:gridCol w:w="109"/>
        <w:gridCol w:w="881"/>
        <w:gridCol w:w="869"/>
        <w:gridCol w:w="856"/>
        <w:gridCol w:w="109"/>
        <w:gridCol w:w="109"/>
        <w:gridCol w:w="109"/>
        <w:gridCol w:w="786"/>
        <w:gridCol w:w="786"/>
        <w:gridCol w:w="790"/>
        <w:gridCol w:w="109"/>
        <w:gridCol w:w="109"/>
        <w:gridCol w:w="109"/>
        <w:gridCol w:w="584"/>
        <w:gridCol w:w="584"/>
        <w:gridCol w:w="586"/>
        <w:gridCol w:w="109"/>
        <w:gridCol w:w="109"/>
        <w:gridCol w:w="109"/>
        <w:gridCol w:w="227"/>
        <w:gridCol w:w="227"/>
        <w:gridCol w:w="332"/>
      </w:tblGrid>
      <w:tr>
        <w:trPr/>
        <w:tc>
          <w:tcPr>
            <w:tcW w:w="5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Index</w:t>
            </w:r>
          </w:p>
        </w:tc>
      </w:tr>
      <w:tr>
        <w:trPr/>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$1,013,914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September 2024 through 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 dates through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Financial Instrument Presentation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table below presents the fair value of our derivative financial instruments as well as their classification on the balance sheet as of June 30, 2026 and 2025. Our derivative asset and liability balances fluctuate with interest rate and currency exchange rate volatility. </w:t>
      </w:r>
    </w:p>
    <w:tbl>
      <w:tblPr>
        <w:tblW w:w="10643" w:type="dxa"/>
        <w:jc w:val="left"/>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646"/>
        <w:gridCol w:w="109"/>
        <w:gridCol w:w="109"/>
        <w:gridCol w:w="109"/>
        <w:gridCol w:w="109"/>
        <w:gridCol w:w="196"/>
        <w:gridCol w:w="626"/>
        <w:gridCol w:w="109"/>
        <w:gridCol w:w="109"/>
        <w:gridCol w:w="109"/>
        <w:gridCol w:w="109"/>
        <w:gridCol w:w="196"/>
        <w:gridCol w:w="646"/>
        <w:gridCol w:w="109"/>
        <w:gridCol w:w="109"/>
        <w:gridCol w:w="109"/>
        <w:gridCol w:w="109"/>
        <w:gridCol w:w="280"/>
        <w:gridCol w:w="205"/>
        <w:gridCol w:w="206"/>
        <w:gridCol w:w="109"/>
        <w:gridCol w:w="109"/>
        <w:gridCol w:w="109"/>
        <w:gridCol w:w="196"/>
        <w:gridCol w:w="661"/>
        <w:gridCol w:w="109"/>
        <w:gridCol w:w="109"/>
        <w:gridCol w:w="109"/>
        <w:gridCol w:w="109"/>
        <w:gridCol w:w="251"/>
        <w:gridCol w:w="539"/>
        <w:gridCol w:w="141"/>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net investment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0"/>
        <w:jc w:val="left"/>
        <w:rPr/>
      </w:pPr>
      <w:r>
        <w:rPr/>
      </w:r>
    </w:p>
    <w:tbl>
      <w:tblPr>
        <w:tblW w:w="10463" w:type="dxa"/>
        <w:jc w:val="left"/>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556"/>
        <w:gridCol w:w="109"/>
        <w:gridCol w:w="109"/>
        <w:gridCol w:w="109"/>
        <w:gridCol w:w="109"/>
        <w:gridCol w:w="246"/>
        <w:gridCol w:w="547"/>
        <w:gridCol w:w="138"/>
        <w:gridCol w:w="109"/>
        <w:gridCol w:w="109"/>
        <w:gridCol w:w="109"/>
        <w:gridCol w:w="196"/>
        <w:gridCol w:w="556"/>
        <w:gridCol w:w="109"/>
        <w:gridCol w:w="109"/>
        <w:gridCol w:w="109"/>
        <w:gridCol w:w="109"/>
        <w:gridCol w:w="280"/>
        <w:gridCol w:w="205"/>
        <w:gridCol w:w="206"/>
        <w:gridCol w:w="109"/>
        <w:gridCol w:w="109"/>
        <w:gridCol w:w="109"/>
        <w:gridCol w:w="196"/>
        <w:gridCol w:w="661"/>
        <w:gridCol w:w="109"/>
        <w:gridCol w:w="109"/>
        <w:gridCol w:w="109"/>
        <w:gridCol w:w="109"/>
        <w:gridCol w:w="211"/>
        <w:gridCol w:w="601"/>
        <w:gridCol w:w="119"/>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net investment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effect of our derivative financial instruments designated as hedging instruments and their classification within comprehensive income (loss), net of tax, for the years ended June 30, 2026, 2025, and 2024:</w:t>
      </w:r>
    </w:p>
    <w:tbl>
      <w:tblPr>
        <w:tblW w:w="8532" w:type="dxa"/>
        <w:jc w:val="left"/>
        <w:tblInd w:w="0" w:type="dxa"/>
        <w:tblLayout w:type="fixed"/>
        <w:tblCellMar>
          <w:top w:w="28" w:type="dxa"/>
          <w:left w:w="28" w:type="dxa"/>
          <w:bottom w:w="28" w:type="dxa"/>
          <w:right w:w="28" w:type="dxa"/>
        </w:tblCellMar>
      </w:tblPr>
      <w:tblGrid>
        <w:gridCol w:w="1522"/>
        <w:gridCol w:w="1337"/>
        <w:gridCol w:w="1340"/>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413" w:type="dxa"/>
            <w:gridSpan w:val="6"/>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Intercompany loan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reclassifications out of accumulated other comprehensive loss for the years ended June 30, 2026, 2025, and 2024:</w:t>
      </w:r>
    </w:p>
    <w:tbl>
      <w:tblPr>
        <w:tblW w:w="10205" w:type="dxa"/>
        <w:jc w:val="left"/>
        <w:tblInd w:w="0" w:type="dxa"/>
        <w:tblLayout w:type="fixed"/>
        <w:tblCellMar>
          <w:top w:w="28" w:type="dxa"/>
          <w:left w:w="28" w:type="dxa"/>
          <w:bottom w:w="28" w:type="dxa"/>
          <w:right w:w="28" w:type="dxa"/>
        </w:tblCellMar>
      </w:tblPr>
      <w:tblGrid>
        <w:gridCol w:w="1130"/>
        <w:gridCol w:w="912"/>
        <w:gridCol w:w="914"/>
        <w:gridCol w:w="109"/>
        <w:gridCol w:w="109"/>
        <w:gridCol w:w="109"/>
        <w:gridCol w:w="109"/>
        <w:gridCol w:w="298"/>
        <w:gridCol w:w="952"/>
        <w:gridCol w:w="153"/>
        <w:gridCol w:w="153"/>
        <w:gridCol w:w="153"/>
        <w:gridCol w:w="153"/>
        <w:gridCol w:w="298"/>
        <w:gridCol w:w="952"/>
        <w:gridCol w:w="153"/>
        <w:gridCol w:w="153"/>
        <w:gridCol w:w="153"/>
        <w:gridCol w:w="153"/>
        <w:gridCol w:w="298"/>
        <w:gridCol w:w="952"/>
        <w:gridCol w:w="153"/>
        <w:gridCol w:w="503"/>
        <w:gridCol w:w="483"/>
        <w:gridCol w:w="700"/>
      </w:tblGrid>
      <w:tr>
        <w:trPr/>
        <w:tc>
          <w:tcPr>
            <w:tcW w:w="113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Net (Gain) Loss Reclassified from Accumulated Other Comprehensive Loss into Income</w:t>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3"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6"/>
            <w:tcBorders/>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Cross-currency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(expense), net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income taxes</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 (benefit)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(3,201)</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(8,595)</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adjustment to fair value recorded within the consolidated statements of operations for the years ended June 30, 2026, 2025, and 2024 for derivative instruments for which we did not elect hedge accounting:</w:t>
      </w:r>
    </w:p>
    <w:tbl>
      <w:tblPr>
        <w:tblW w:w="8083"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109"/>
        <w:gridCol w:w="211"/>
        <w:gridCol w:w="721"/>
        <w:gridCol w:w="109"/>
        <w:gridCol w:w="109"/>
        <w:gridCol w:w="109"/>
        <w:gridCol w:w="109"/>
        <w:gridCol w:w="211"/>
        <w:gridCol w:w="796"/>
        <w:gridCol w:w="109"/>
        <w:gridCol w:w="109"/>
        <w:gridCol w:w="109"/>
        <w:gridCol w:w="109"/>
        <w:gridCol w:w="211"/>
        <w:gridCol w:w="616"/>
        <w:gridCol w:w="109"/>
        <w:gridCol w:w="657"/>
        <w:gridCol w:w="657"/>
        <w:gridCol w:w="936"/>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Gain (Loss) Recognized in Net Income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(expense), net</w:t>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5. Accumulated Other Comprehensive Loss</w:t>
      </w:r>
    </w:p>
    <w:p>
      <w:pPr>
        <w:pStyle w:val="TextBody"/>
        <w:bidi w:val="0"/>
        <w:spacing w:lineRule="auto" w:line="288" w:before="220" w:after="283"/>
        <w:ind w:left="0" w:right="0" w:firstLine="720"/>
        <w:jc w:val="left"/>
        <w:rPr/>
      </w:pPr>
      <w:r>
        <w:rPr>
          <w:rFonts w:ascii="Arial;sans-serif" w:hAnsi="Arial;sans-serif"/>
          <w:b w:val="false"/>
          <w:color w:val="000000"/>
          <w:sz w:val="20"/>
        </w:rPr>
        <w:t>The following table presents a roll forward of amounts recognized in accumulated other comprehensive loss by component, net of tax of</w:t>
      </w:r>
      <w:r>
        <w:rPr>
          <w:color w:val="EE2724"/>
        </w:rPr>
        <w:t xml:space="preserve"> </w:t>
      </w:r>
      <w:r>
        <w:rPr>
          <w:rFonts w:ascii="Arial;sans-serif" w:hAnsi="Arial;sans-serif"/>
          <w:b w:val="false"/>
          <w:color w:val="000000"/>
          <w:sz w:val="20"/>
        </w:rPr>
        <w:t>$200, $197, and $10,985 for the years ended June 30, 2026, 2025, and 2024, respectively.</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30"/>
        <w:gridCol w:w="944"/>
        <w:gridCol w:w="930"/>
        <w:gridCol w:w="276"/>
        <w:gridCol w:w="945"/>
        <w:gridCol w:w="142"/>
        <w:gridCol w:w="109"/>
        <w:gridCol w:w="109"/>
        <w:gridCol w:w="109"/>
        <w:gridCol w:w="109"/>
        <w:gridCol w:w="109"/>
        <w:gridCol w:w="325"/>
        <w:gridCol w:w="1027"/>
        <w:gridCol w:w="167"/>
        <w:gridCol w:w="109"/>
        <w:gridCol w:w="109"/>
        <w:gridCol w:w="109"/>
        <w:gridCol w:w="326"/>
        <w:gridCol w:w="1195"/>
        <w:gridCol w:w="168"/>
        <w:gridCol w:w="109"/>
        <w:gridCol w:w="109"/>
        <w:gridCol w:w="109"/>
        <w:gridCol w:w="211"/>
        <w:gridCol w:w="757"/>
        <w:gridCol w:w="163"/>
      </w:tblGrid>
      <w:tr>
        <w:trPr/>
        <w:tc>
          <w:tcPr>
            <w:tcW w:w="143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Gains (losses) on cash flow </w:t>
              <w:br/>
              <w:t>hedges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Losses on pension 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Translation adjustments, net of hedges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 (loss)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 (loss)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 (loss)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(39,037)</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(33,903)</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20" w:after="283"/>
        <w:ind w:left="0" w:right="0" w:hanging="270"/>
        <w:jc w:val="left"/>
        <w:rPr>
          <w:rFonts w:ascii="Arial;sans-serif" w:hAnsi="Arial;sans-serif"/>
          <w:b w:val="false"/>
          <w:color w:val="000000"/>
          <w:sz w:val="16"/>
        </w:rPr>
      </w:pPr>
      <w:r>
        <w:rPr>
          <w:rFonts w:ascii="Arial;sans-serif" w:hAnsi="Arial;sans-serif"/>
          <w:b w:val="false"/>
          <w:color w:val="000000"/>
          <w:sz w:val="16"/>
        </w:rPr>
        <w:t>(1) Gains (losses) on cash flow hedges include our interest rate swap and cross-currency swap contracts designated in cash flow hedging relationships.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As of June 30, 2026 and 2025, the translation adjustment is inclusive of both realized and unrealized effects of our net investment hedges. Losses on currency forward and swap contracts, net of tax, of $1,844 and $9,406 have been included in accumulated other comprehensive loss as of June 30, 2026 and 2025, respectively. Intercompany loan hedge gains of $42,159, net of tax, have been included in accumulated other comprehensive loss for both periods presented.</w:t>
      </w:r>
    </w:p>
    <w:p>
      <w:pPr>
        <w:pStyle w:val="TextBody"/>
        <w:bidi w:val="0"/>
        <w:spacing w:before="0" w:after="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6. Property, Plant and Equipment, Net</w:t>
      </w:r>
    </w:p>
    <w:p>
      <w:pPr>
        <w:pStyle w:val="TextBody"/>
        <w:bidi w:val="0"/>
        <w:spacing w:lineRule="auto" w:line="288" w:before="120" w:after="283"/>
        <w:jc w:val="left"/>
        <w:rPr>
          <w:color w:val="000000"/>
        </w:rPr>
      </w:pPr>
      <w:r>
        <w:rPr>
          <w:color w:val="000000"/>
        </w:rPr>
        <w:t>    </w:t>
      </w:r>
      <w:r>
        <w:rPr>
          <w:rFonts w:ascii="Arial;sans-serif" w:hAnsi="Arial;sans-serif"/>
          <w:b w:val="false"/>
          <w:color w:val="000000"/>
          <w:sz w:val="20"/>
        </w:rPr>
        <w:t>Property, plant, and equipment, net consists of the following:</w:t>
      </w:r>
    </w:p>
    <w:tbl>
      <w:tblPr>
        <w:tblW w:w="10205" w:type="dxa"/>
        <w:jc w:val="left"/>
        <w:tblInd w:w="0" w:type="dxa"/>
        <w:tblLayout w:type="fixed"/>
        <w:tblCellMar>
          <w:top w:w="28" w:type="dxa"/>
          <w:left w:w="28" w:type="dxa"/>
          <w:bottom w:w="28" w:type="dxa"/>
          <w:right w:w="28" w:type="dxa"/>
        </w:tblCellMar>
      </w:tblPr>
      <w:tblGrid>
        <w:gridCol w:w="1545"/>
        <w:gridCol w:w="1357"/>
        <w:gridCol w:w="1363"/>
        <w:gridCol w:w="1020"/>
        <w:gridCol w:w="961"/>
        <w:gridCol w:w="965"/>
        <w:gridCol w:w="109"/>
        <w:gridCol w:w="109"/>
        <w:gridCol w:w="109"/>
        <w:gridCol w:w="211"/>
        <w:gridCol w:w="826"/>
        <w:gridCol w:w="109"/>
        <w:gridCol w:w="109"/>
        <w:gridCol w:w="109"/>
        <w:gridCol w:w="109"/>
        <w:gridCol w:w="211"/>
        <w:gridCol w:w="826"/>
        <w:gridCol w:w="157"/>
      </w:tblGrid>
      <w:tr>
        <w:trPr/>
        <w:tc>
          <w:tcPr>
            <w:tcW w:w="15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improvements</w:t>
            </w:r>
          </w:p>
        </w:tc>
        <w:tc>
          <w:tcPr>
            <w:tcW w:w="2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building improvements</w:t>
            </w:r>
          </w:p>
        </w:tc>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vAlign w:val="center"/>
          </w:tcPr>
          <w:p>
            <w:pPr>
              <w:pStyle w:val="TableContents"/>
              <w:bidi w:val="0"/>
              <w:spacing w:before="0" w:after="283"/>
              <w:jc w:val="left"/>
              <w:rPr>
                <w:sz w:val="4"/>
                <w:szCs w:val="4"/>
              </w:rPr>
            </w:pPr>
            <w:r>
              <w:rPr>
                <w:sz w:val="4"/>
                <w:szCs w:val="4"/>
              </w:rPr>
            </w:r>
          </w:p>
        </w:tc>
        <w:tc>
          <w:tcPr>
            <w:tcW w:w="2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production equipment</w:t>
            </w:r>
          </w:p>
        </w:tc>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production equipment under finance lease</w:t>
            </w:r>
          </w:p>
        </w:tc>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software and equipment</w:t>
            </w:r>
          </w:p>
        </w:tc>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fixtures and office equipment</w:t>
            </w:r>
          </w:p>
        </w:tc>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Shorter of lease term or expected life of the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891,787 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inclusive of assets under finance lease</w:t>
            </w:r>
          </w:p>
        </w:tc>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(610,895)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302,494 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144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0"/>
        </w:rPr>
        <w:t>Depreciation expense, inclusive of assets under finance leases, totaled $74,576</w:t>
      </w:r>
      <w:r>
        <w:rPr>
          <w:rFonts w:ascii="Arial;sans-serif" w:hAnsi="Arial;sans-serif"/>
          <w:b w:val="false"/>
          <w:i/>
          <w:color w:val="000000"/>
          <w:sz w:val="20"/>
        </w:rPr>
        <w:t>,</w:t>
      </w:r>
      <w:r>
        <w:rPr>
          <w:color w:val="EE2724"/>
        </w:rPr>
        <w:t xml:space="preserve"> </w:t>
      </w:r>
      <w:r>
        <w:rPr>
          <w:rFonts w:ascii="Arial;sans-serif" w:hAnsi="Arial;sans-serif"/>
          <w:b w:val="false"/>
          <w:color w:val="000000"/>
          <w:sz w:val="20"/>
        </w:rPr>
        <w:t>$61,890, and $59,373 for the years ended June 30,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7. Business Combinations</w:t>
      </w:r>
      <w:r>
        <w:rPr>
          <w:color w:val="000000"/>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Fiscal Year 2026 Acquisitions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fiscal year 2026, we completed three immaterial acquisitions for a total cash consideration of $32,390, net of cash acquired. These acquisitions support our strategy of better serving high-value customers in elevated products and delivering efficiencies through cross-Cimpress fulfillment and focused production hubs. We recognized the assets and liabilities on the basis of their fair values at the date of acquisition. The revenue and earnings from these businesses individually and in the aggregate were not material for the year ended June 30, 2026.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On October 9, 2025, we acquired all outstanding shares of a business that is included in our PrintBrothers reportable segment in exchange for $12,793 of cash consideration. We recognized their net assets at fair value of $8,575, as well as acquired intangible assets of $3,489 and goodwill of $729 which is not deductible for tax purposes.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On April 10, 2026, we acquired a 50% equity interest in a business and under the terms of the agreement we are provided majority voting rights and day-to-day operational control of the business and therefore consolidated the business as part of our consolidated financial statements. We paid cash consideration of $20,000 at closing and the business is included in The Print Group reportable segment. We recognized their net liabilities at fair value of $6,958, acquired intangible assets of $16,100, as well as their noncontrolling interest of $20,000 and goodwill of $30,858 which is not deductible for tax purposes.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On April 23, 2026, we acquired an 85% equity interest of a business that is included in our PrintBrothers reportable segment in exchange for $4,552 of cash paid at closing, and a deferred payment of $8,049 due in fiscal year 2028. We recognized their net assets at fair value of $3,547, acquired intangible assets of $7,023, as well as their redeemable noncontrolling interest of $2,224 and goodwill of $4,255 which is not deductible for tax purposes.</w:t>
      </w:r>
    </w:p>
    <w:p>
      <w:pPr>
        <w:pStyle w:val="TextBody"/>
        <w:bidi w:val="0"/>
        <w:spacing w:lineRule="auto" w:line="288" w:before="180" w:after="100"/>
        <w:ind w:left="0" w:right="0" w:firstLine="720"/>
        <w:jc w:val="left"/>
        <w:rPr>
          <w:rFonts w:ascii="Arial;sans-serif" w:hAnsi="Arial;sans-serif"/>
          <w:b w:val="false"/>
          <w:color w:val="000000"/>
          <w:sz w:val="20"/>
        </w:rPr>
      </w:pPr>
      <w:r>
        <w:rPr>
          <w:rFonts w:ascii="Arial;sans-serif" w:hAnsi="Arial;sans-serif"/>
          <w:b w:val="false"/>
          <w:color w:val="000000"/>
          <w:sz w:val="20"/>
        </w:rPr>
        <w:t>We utilized our available cash balance to finance each acquisition. In connection with these acquisitions and the acquisition detailed in Note 20, we incurred $1,827 in general and administrative expenses during the year ended June 30, 2026, primarily related to legal, financial, and other professional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8. Goodwill</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carrying amount of goodwill by reportable segment as of June 30, 2026 and 2025 was as follows: </w:t>
      </w:r>
    </w:p>
    <w:tbl>
      <w:tblPr>
        <w:tblW w:w="10205" w:type="dxa"/>
        <w:jc w:val="left"/>
        <w:tblInd w:w="0" w:type="dxa"/>
        <w:tblLayout w:type="fixed"/>
        <w:tblCellMar>
          <w:top w:w="28" w:type="dxa"/>
          <w:left w:w="28" w:type="dxa"/>
          <w:bottom w:w="28" w:type="dxa"/>
          <w:right w:w="28" w:type="dxa"/>
        </w:tblCellMar>
      </w:tblPr>
      <w:tblGrid>
        <w:gridCol w:w="1115"/>
        <w:gridCol w:w="888"/>
        <w:gridCol w:w="8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1"/>
        <w:gridCol w:w="986"/>
        <w:gridCol w:w="129"/>
        <w:gridCol w:w="109"/>
        <w:gridCol w:w="109"/>
        <w:gridCol w:w="109"/>
        <w:gridCol w:w="211"/>
        <w:gridCol w:w="826"/>
        <w:gridCol w:w="157"/>
      </w:tblGrid>
      <w:tr>
        <w:trPr/>
        <w:tc>
          <w:tcPr>
            <w:tcW w:w="11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787,138 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currency translation adjustments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currency translation adjustments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850,778 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44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In fiscal year 2026, we completed three individually immaterial acquisitions. Refer to Note 7 for additional details.</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(2) Related to goodwill held by subsidiaries whose functional currency is not the U.S. dollar.</w:t>
      </w:r>
    </w:p>
    <w:p>
      <w:pPr>
        <w:pStyle w:val="TextBody"/>
        <w:bidi w:val="0"/>
        <w:spacing w:lineRule="auto" w:line="288" w:before="180" w:after="283"/>
        <w:ind w:left="0" w:right="0" w:hanging="270"/>
        <w:jc w:val="left"/>
        <w:rPr>
          <w:rFonts w:ascii="Arial;sans-serif" w:hAnsi="Arial;sans-serif"/>
          <w:b w:val="false"/>
          <w:i/>
          <w:color w:val="000000"/>
          <w:sz w:val="20"/>
        </w:rPr>
      </w:pPr>
      <w:r>
        <w:rPr>
          <w:rFonts w:ascii="Arial;sans-serif" w:hAnsi="Arial;sans-serif"/>
          <w:b w:val="false"/>
          <w:i/>
          <w:color w:val="000000"/>
          <w:sz w:val="20"/>
        </w:rPr>
        <w:t>Annual Impairment Review</w:t>
      </w:r>
    </w:p>
    <w:p>
      <w:pPr>
        <w:pStyle w:val="TextBody"/>
        <w:bidi w:val="0"/>
        <w:spacing w:lineRule="auto" w:line="288" w:before="180" w:after="283"/>
        <w:ind w:left="0" w:right="0" w:hanging="270"/>
        <w:jc w:val="left"/>
        <w:rPr>
          <w:rFonts w:ascii="Arial;sans-serif" w:hAnsi="Arial;sans-serif"/>
          <w:b w:val="false"/>
          <w:i/>
          <w:color w:val="000000"/>
          <w:sz w:val="20"/>
        </w:rPr>
      </w:pPr>
      <w:r>
        <w:rPr>
          <w:rFonts w:ascii="Arial;sans-serif" w:hAnsi="Arial;sans-serif"/>
          <w:b w:val="false"/>
          <w:i/>
          <w:color w:val="000000"/>
          <w:sz w:val="20"/>
        </w:rPr>
        <w:t>Fiscal years 2026 and 2025</w:t>
      </w:r>
    </w:p>
    <w:p>
      <w:pPr>
        <w:pStyle w:val="TextBody"/>
        <w:bidi w:val="0"/>
        <w:spacing w:lineRule="auto" w:line="288" w:before="180" w:after="283"/>
        <w:ind w:left="0" w:right="0" w:firstLine="720"/>
        <w:jc w:val="left"/>
        <w:rPr/>
      </w:pPr>
      <w:r>
        <w:rPr>
          <w:rFonts w:ascii="Arial;sans-serif" w:hAnsi="Arial;sans-serif"/>
          <w:b w:val="false"/>
          <w:color w:val="000000"/>
          <w:sz w:val="20"/>
        </w:rPr>
        <w:t>Our goodwill accounting policy establishes an annual goodwill impairment test date of May 31. We identified nine and eight reporting units for fiscal year 2026 and 2025 with goodwill individually, respectively.</w:t>
      </w:r>
      <w:r>
        <w:rPr>
          <w:color w:val="EE2724"/>
        </w:rPr>
        <w:t xml:space="preserve"> </w:t>
      </w:r>
      <w:r>
        <w:rPr>
          <w:rFonts w:ascii="Arial;sans-serif" w:hAnsi="Arial;sans-serif"/>
          <w:b w:val="false"/>
          <w:color w:val="000000"/>
          <w:sz w:val="20"/>
        </w:rPr>
        <w:t>We considered the timing of our most recent fair value assessments, associated headroom, actual operating results as compared to the forecasts used to assess fair value, the current long-term forecasts for each reporting unit, and the general economic environment of each reporting unit. After performing this qualitative assessment, we determined that there was no indication the carrying values for any of these reporting units exceeded their respective fair values. We concluded that sufficient headroom between the most recent estimated fair value and carrying value existed. Therefore, no quantitative goodwill impairment test was required for any of our reporting units.</w:t>
      </w:r>
    </w:p>
    <w:p>
      <w:pPr>
        <w:pStyle w:val="TextBody"/>
        <w:bidi w:val="0"/>
        <w:spacing w:lineRule="auto" w:line="288" w:before="180" w:after="283"/>
        <w:ind w:left="0" w:right="0" w:hanging="270"/>
        <w:jc w:val="left"/>
        <w:rPr>
          <w:rFonts w:ascii="Arial;sans-serif" w:hAnsi="Arial;sans-serif"/>
          <w:b w:val="false"/>
          <w:i/>
          <w:color w:val="000000"/>
          <w:sz w:val="20"/>
        </w:rPr>
      </w:pPr>
      <w:r>
        <w:rPr>
          <w:rFonts w:ascii="Arial;sans-serif" w:hAnsi="Arial;sans-serif"/>
          <w:b w:val="false"/>
          <w:i/>
          <w:color w:val="000000"/>
          <w:sz w:val="20"/>
        </w:rPr>
        <w:t>Fiscal year 2024</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our annual goodwill impairment test date of May 31, 2024, after performing the initial qualitative assessment, we determined that there was no indication the carrying values for six of our eight reporting units exceeded their respective fair values. For the two remaining reporting units, which included Exaprint, which is part of The Print Group reportable segment, and BuildASign, which is included in the All Other Businesses reportable segment, we performed a quantitative goodwill impairment test that compared the estimated fair value to carrying value. We used the income approach, specifically the discounted cash flow method, to derive the fair value. As required, prior to performing the quantitative goodwill impairment test for the two reporting units mentioned above, we first evaluated the recoverability of long-lived assets and concluded that no impairment of long-lived assets existed. For both reporting units, we concluded that sufficient headroom between the estimated fair value and carrying value existed and that no goodwill impairment was identified.</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Acquired Intangible Assets</w:t>
      </w:r>
    </w:p>
    <w:tbl>
      <w:tblPr>
        <w:tblW w:w="10205" w:type="dxa"/>
        <w:jc w:val="left"/>
        <w:tblInd w:w="0" w:type="dxa"/>
        <w:tblLayout w:type="fixed"/>
        <w:tblCellMar>
          <w:top w:w="28" w:type="dxa"/>
          <w:left w:w="28" w:type="dxa"/>
          <w:bottom w:w="28" w:type="dxa"/>
          <w:right w:w="28" w:type="dxa"/>
        </w:tblCellMar>
      </w:tblPr>
      <w:tblGrid>
        <w:gridCol w:w="707"/>
        <w:gridCol w:w="553"/>
        <w:gridCol w:w="511"/>
        <w:gridCol w:w="211"/>
        <w:gridCol w:w="826"/>
        <w:gridCol w:w="109"/>
        <w:gridCol w:w="109"/>
        <w:gridCol w:w="109"/>
        <w:gridCol w:w="109"/>
        <w:gridCol w:w="211"/>
        <w:gridCol w:w="869"/>
        <w:gridCol w:w="109"/>
        <w:gridCol w:w="109"/>
        <w:gridCol w:w="109"/>
        <w:gridCol w:w="109"/>
        <w:gridCol w:w="211"/>
        <w:gridCol w:w="721"/>
        <w:gridCol w:w="109"/>
        <w:gridCol w:w="109"/>
        <w:gridCol w:w="109"/>
        <w:gridCol w:w="109"/>
        <w:gridCol w:w="211"/>
        <w:gridCol w:w="826"/>
        <w:gridCol w:w="109"/>
        <w:gridCol w:w="109"/>
        <w:gridCol w:w="109"/>
        <w:gridCol w:w="109"/>
        <w:gridCol w:w="211"/>
        <w:gridCol w:w="869"/>
        <w:gridCol w:w="109"/>
        <w:gridCol w:w="109"/>
        <w:gridCol w:w="109"/>
        <w:gridCol w:w="109"/>
        <w:gridCol w:w="211"/>
        <w:gridCol w:w="721"/>
        <w:gridCol w:w="156"/>
      </w:tblGrid>
      <w:tr>
        <w:trPr/>
        <w:tc>
          <w:tcPr>
            <w:tcW w:w="70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br/>
              <w:t>Carrying</w:t>
              <w:br/>
              <w:t>Amount</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network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 network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(444,100)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491,496 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Acquired intangible assets amortization expense for the years ended June 30, 2026, 2025, and 2024 was $13,792, $19,062, and $31,443 respectively. Estimated intangible assets amortization expense for each of the five succeeding fiscal years and thereafter is as follows:</w:t>
      </w:r>
    </w:p>
    <w:p>
      <w:pPr>
        <w:pStyle w:val="TextBody"/>
        <w:bidi w:val="0"/>
        <w:spacing w:before="0" w:after="0"/>
        <w:jc w:val="left"/>
        <w:rPr/>
      </w:pPr>
      <w:r>
        <w:rPr/>
      </w:r>
    </w:p>
    <w:tbl>
      <w:tblPr>
        <w:tblW w:w="2047" w:type="dxa"/>
        <w:jc w:val="left"/>
        <w:tblInd w:w="0" w:type="dxa"/>
        <w:tblLayout w:type="fixed"/>
        <w:tblCellMar>
          <w:top w:w="28" w:type="dxa"/>
          <w:left w:w="28" w:type="dxa"/>
          <w:bottom w:w="28" w:type="dxa"/>
          <w:right w:w="28" w:type="dxa"/>
        </w:tblCellMar>
      </w:tblPr>
      <w:tblGrid>
        <w:gridCol w:w="348"/>
        <w:gridCol w:w="305"/>
        <w:gridCol w:w="308"/>
        <w:gridCol w:w="211"/>
        <w:gridCol w:w="721"/>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9. Other Balance Sheet Components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Accrued expenses included the following: </w:t>
      </w:r>
    </w:p>
    <w:tbl>
      <w:tblPr>
        <w:tblW w:w="6893" w:type="dxa"/>
        <w:jc w:val="left"/>
        <w:tblInd w:w="0" w:type="dxa"/>
        <w:tblLayout w:type="fixed"/>
        <w:tblCellMar>
          <w:top w:w="28" w:type="dxa"/>
          <w:left w:w="28" w:type="dxa"/>
          <w:bottom w:w="28" w:type="dxa"/>
          <w:right w:w="28" w:type="dxa"/>
        </w:tblCellMar>
      </w:tblPr>
      <w:tblGrid>
        <w:gridCol w:w="1531"/>
        <w:gridCol w:w="1348"/>
        <w:gridCol w:w="1350"/>
        <w:gridCol w:w="211"/>
        <w:gridCol w:w="826"/>
        <w:gridCol w:w="109"/>
        <w:gridCol w:w="109"/>
        <w:gridCol w:w="109"/>
        <w:gridCol w:w="109"/>
        <w:gridCol w:w="211"/>
        <w:gridCol w:w="82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and indirect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manufacturing and digital content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compensation incentives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Shipping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returns</w:t>
            </w:r>
            <w:r>
              <w:rPr>
                <w:color w:val="EE2724"/>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Other current liabilities included the following:</w:t>
      </w:r>
    </w:p>
    <w:tbl>
      <w:tblPr>
        <w:tblW w:w="6698" w:type="dxa"/>
        <w:jc w:val="left"/>
        <w:tblInd w:w="0" w:type="dxa"/>
        <w:tblLayout w:type="fixed"/>
        <w:tblCellMar>
          <w:top w:w="28" w:type="dxa"/>
          <w:left w:w="28" w:type="dxa"/>
          <w:bottom w:w="28" w:type="dxa"/>
          <w:right w:w="28" w:type="dxa"/>
        </w:tblCellMar>
      </w:tblPr>
      <w:tblGrid>
        <w:gridCol w:w="1535"/>
        <w:gridCol w:w="1352"/>
        <w:gridCol w:w="1357"/>
        <w:gridCol w:w="211"/>
        <w:gridCol w:w="721"/>
        <w:gridCol w:w="109"/>
        <w:gridCol w:w="109"/>
        <w:gridCol w:w="109"/>
        <w:gridCol w:w="109"/>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Short-term derivative liabilities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Mandatorily redeemable noncontrolling interest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second quarter of fiscal year 2026, the mandatory redemption date for minority equity interests in three of our businesses within the PrintBrothers reportable segment was reached, resulting in the purchase of their outstanding equity interests for $10,724.</w:t>
      </w:r>
    </w:p>
    <w:p>
      <w:pPr>
        <w:pStyle w:val="TextBody"/>
        <w:bidi w:val="0"/>
        <w:spacing w:before="100" w:after="10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270"/>
        <w:jc w:val="left"/>
        <w:rPr>
          <w:rFonts w:ascii="Arial;sans-serif" w:hAnsi="Arial;sans-serif"/>
          <w:b w:val="false"/>
          <w:color w:val="000000"/>
          <w:sz w:val="20"/>
        </w:rPr>
      </w:pPr>
      <w:r>
        <w:rPr>
          <w:rFonts w:ascii="Arial;sans-serif" w:hAnsi="Arial;sans-serif"/>
          <w:b w:val="false"/>
          <w:color w:val="000000"/>
          <w:sz w:val="20"/>
        </w:rPr>
        <w:t>Other liabilities included the following:</w:t>
      </w:r>
    </w:p>
    <w:tbl>
      <w:tblPr>
        <w:tblW w:w="5709" w:type="dxa"/>
        <w:jc w:val="left"/>
        <w:tblInd w:w="0" w:type="dxa"/>
        <w:tblLayout w:type="fixed"/>
        <w:tblCellMar>
          <w:top w:w="28" w:type="dxa"/>
          <w:left w:w="28" w:type="dxa"/>
          <w:bottom w:w="28" w:type="dxa"/>
          <w:right w:w="28" w:type="dxa"/>
        </w:tblCellMar>
      </w:tblPr>
      <w:tblGrid>
        <w:gridCol w:w="1103"/>
        <w:gridCol w:w="970"/>
        <w:gridCol w:w="972"/>
        <w:gridCol w:w="211"/>
        <w:gridCol w:w="826"/>
        <w:gridCol w:w="109"/>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derivative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compensation incentives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pension liabilities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acquisition payments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increase was driven in part by obligations assumed in connection with a business acquisition in the current fiscal year and changes in statutory requirements in one jurisdiction. Refer to Note 12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In fiscal year 2026, we acquired an immaterial business, in which a portion of the purchase consideration is payable in fiscal year 2028. Refer to Note 7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10. Debt</w:t>
      </w:r>
    </w:p>
    <w:tbl>
      <w:tblPr>
        <w:tblW w:w="7703" w:type="dxa"/>
        <w:jc w:val="left"/>
        <w:tblInd w:w="0" w:type="dxa"/>
        <w:tblLayout w:type="fixed"/>
        <w:tblCellMar>
          <w:top w:w="28" w:type="dxa"/>
          <w:left w:w="28" w:type="dxa"/>
          <w:bottom w:w="28" w:type="dxa"/>
          <w:right w:w="28" w:type="dxa"/>
        </w:tblCellMar>
      </w:tblPr>
      <w:tblGrid>
        <w:gridCol w:w="1716"/>
        <w:gridCol w:w="1508"/>
        <w:gridCol w:w="1515"/>
        <w:gridCol w:w="211"/>
        <w:gridCol w:w="976"/>
        <w:gridCol w:w="109"/>
        <w:gridCol w:w="109"/>
        <w:gridCol w:w="109"/>
        <w:gridCol w:w="109"/>
        <w:gridCol w:w="211"/>
        <w:gridCol w:w="97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7.375% Senior Notes due 2032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and discounts, net of debt premiums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short-term debt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increase in other debt is primarily related to debt acquired as part of tuck-in acquisitions completed during fiscal year 2026 within our PrintBrothers and The Print Group reportable segments.</w:t>
      </w:r>
    </w:p>
    <w:p>
      <w:pPr>
        <w:pStyle w:val="TextBody"/>
        <w:bidi w:val="0"/>
        <w:spacing w:lineRule="auto" w:line="288" w:before="100" w:after="220"/>
        <w:ind w:left="0" w:right="0" w:hanging="270"/>
        <w:jc w:val="left"/>
        <w:rPr/>
      </w:pPr>
      <w:r>
        <w:rPr>
          <w:rFonts w:ascii="Arial;sans-serif" w:hAnsi="Arial;sans-serif"/>
          <w:b w:val="false"/>
          <w:color w:val="000000"/>
          <w:sz w:val="16"/>
        </w:rPr>
        <w:t>(2) Balances as of June 30, 2026 and June 30, 2025 are inclusive of short-term debt issuance costs, debt premiums and discounts of $3,852 and $4,895</w:t>
      </w:r>
      <w:r>
        <w:rPr>
          <w:rFonts w:ascii="Times New Roman;serif" w:hAnsi="Times New Roman;serif"/>
          <w:b w:val="false"/>
          <w:color w:val="000000"/>
          <w:sz w:val="20"/>
        </w:rPr>
        <w:t xml:space="preserve">, </w:t>
      </w:r>
      <w:r>
        <w:rPr>
          <w:rFonts w:ascii="Arial;sans-serif" w:hAnsi="Arial;sans-serif"/>
          <w:b w:val="false"/>
          <w:color w:val="000000"/>
          <w:sz w:val="16"/>
        </w:rPr>
        <w:t>respectively.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various debt arrangements described below contain customary representations, warranties, and events of default. As of June 30, 2026, we were in compliance with all covenants in those debt contracts, including our amended and restated senior secured credit agreement dated as of June 4, 2026 and the indenture governing our 7.375% senior unsecured notes due September 15, 2032 ("2032 Notes").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Senior Secured Credit Facility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June 4, 2026, we entered into an amended and restated senior secured credit agreement ("Restated Credit Agreement"), which consists of a Term Loan B denominated in U.S. dollars, issued at 99.75% of par, and as part of the amendment the size was increased by $35,289 to cover related fees and increase liquidity. The maturity date of the Term Loan B was extended to June 2033, and the maturity date of our senior secured revolving credit facility was extended to June 2031. No other material changes were made to the terms of the Term Loan B or the Restated Credit Agreement.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Restated Credit Agreement consists of the following as of June 30,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 $1,097,250 Term Loan B that bears interest at Term SOFR (with a Term SOFR rate floor of 0%) plus 2.50%, which amortizes over the loan period, with a final maturity date of June 4, 2033, and</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a $250,000 senior secured revolving credit facility with a maturity date of June 4, 2031 (the “Revolving Credit Facility”), with no outstanding borrowings for any periods presented.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Borrowings under the Revolving Credit Facility bear interest at Term SOFR (with a Term SOFR rate floor of 0%) plus 2.25% to 3.00% depending on the Company’s First Lien Leverage Ratio, a net leverage calculation, as defined in the Restated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the aggregate principal amount of outstanding revolving loans, swingline loans and unreimbursed letter of credit disbursements made under the Revolving Credit Facility exceeds 20% of the aggregate revolving commitments as of the last day of any fiscal quarter, then we are subject to a financial maintenance covenant requiring that the Consolidated Leverage Ratio calculated as of the last day of such quarter may not exceed 4.50 to 1.00.</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the weighted-average interest rate on outstanding borrowings under the Restated Credit Agreement was 5.69%, inclusive of interest rate swap rates. We are also required to pay a commitment fee for our Revolving Credit Facility on unused balances of 0.25% to 0.40% depending on our First Lien Leverage Ratio. We have pledged the assets and/or share capital of a number of our subsidiaries as collateral under our Restated Credit Agreement.</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Senior Notes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have issued $525,000 in 2032 Notes, which are unsecured. We can redeem some or all of the 2032 Notes at the redemption prices specified in the indenture that governs the 2032 Notes, plus accrued and unpaid interest to, but not including, the redemption date. As of June 30, 2026, we have not redeemed any of the 2032 Notes.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Debt Issuance Costs and Debt Premiums (Discounts)</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During the year ended June 30, 2026, we capitalized debt issuance costs of $7,789 and recognized a debt discount of $2,750 related to the Restated Credit Agreement and during the prior fiscal year, we capitalized debt issuance costs of $11,658 related to the 2032 Notes.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Amortization expense related to debt issuance costs and debt premiums (discounts) is included in interest expense, net in the consolidated statements of operations and amortized over the term of the related instrument. For the years ended June 30, 2026, 2025 and 2024, we amortized $4,807, $4,834, and $4,955, respectively.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Loss on Early Extinguishment of Debt</w:t>
      </w:r>
    </w:p>
    <w:p>
      <w:pPr>
        <w:pStyle w:val="TextBody"/>
        <w:bidi w:val="0"/>
        <w:spacing w:lineRule="auto" w:line="288" w:before="0" w:after="0"/>
        <w:jc w:val="left"/>
        <w:rPr/>
      </w:pPr>
      <w:r>
        <w:rPr>
          <w:color w:val="000000"/>
        </w:rPr>
        <w:t>    </w:t>
      </w:r>
      <w:r>
        <w:rPr>
          <w:rFonts w:ascii="Arial;sans-serif" w:hAnsi="Arial;sans-serif"/>
          <w:b w:val="false"/>
          <w:color w:val="000000"/>
          <w:sz w:val="20"/>
        </w:rPr>
        <w:t xml:space="preserve">For the years ended June 30, 2026, 2025, and 2024, loss on early extinguishment of debt was $3,722, $498, and $666, respectively, which was presented separately in the consolidated statements of operations. Loss on early extinguishment of debt includes the write-off of unamortized debt issuance costs and debt premiums (discounts) related to debt extinguishments, as well as third-party costs for debt that was considered modified based on a lender-by-lender analysis.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Debt</w:t>
      </w:r>
    </w:p>
    <w:p>
      <w:pPr>
        <w:pStyle w:val="TextBody"/>
        <w:bidi w:val="0"/>
        <w:spacing w:lineRule="auto" w:line="288" w:before="100" w:after="100"/>
        <w:ind w:left="0" w:right="0" w:firstLine="720"/>
        <w:jc w:val="left"/>
        <w:rPr/>
      </w:pPr>
      <w:r>
        <w:rPr>
          <w:rFonts w:ascii="Arial;sans-serif" w:hAnsi="Arial;sans-serif"/>
          <w:b w:val="false"/>
          <w:color w:val="000000"/>
          <w:sz w:val="20"/>
        </w:rPr>
        <w:t>Other debt primarily consists of term loans acquired through acquisitions or used to fund certain capital investments. As of June 30, 2026 and June 30, 2025, we had $14,154</w:t>
      </w:r>
      <w:r>
        <w:rPr>
          <w:color w:val="000000"/>
        </w:rPr>
        <w:t xml:space="preserve"> </w:t>
      </w:r>
      <w:r>
        <w:rPr>
          <w:rFonts w:ascii="Arial;sans-serif" w:hAnsi="Arial;sans-serif"/>
          <w:b w:val="false"/>
          <w:color w:val="000000"/>
          <w:sz w:val="20"/>
        </w:rPr>
        <w:t>and $6,695, respectively, outstanding for those obligations that are payable through September 2037. The increase in other debt is primarily related to debt acquired as part of tuck-in acquisitions completed during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11. Shareholders' Deficit</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Warrants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 fiscal year 2020, in conjunction with our issuance of our 12% Senior Secured Notes due 2025, which we subsequently redeemed in fiscal year 2021, we also issued 7-year warrants to purchase 1,055,377 ordinary shares of Cimpress, representing approximately 3.875% of our outstanding diluted ordinary shares at the time of issuance. The warrants, which currently remain outstanding, are accounted for as equity, as they are redeemable only in our own shares, with an exercise price of $60 per share. The warrants may be exercised by cash payment or through cashless exercise by the surrender of warrant shares having a value equal to the exercise price of the portion of the warrant being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Share-based awards</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November 25, 2020, our shareholders approved our 2020 Equity Incentive Plan (the "2020 Plan"). Upon approval, we ceased granting new awards under any of our prior equity plans – the 2016 Performance Equity Plan, 2011 Equity Incentive Plan, and 2005 Non-Employee Directors' Share Option Plan, and we now grant all equity awards under the 2020 Plan. Some awards previously granted under the former plans remain outstanding and are governed by their original terms.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2020 Plan allows us to grant share options, share appreciation rights, restricted shares, restricted share units, other share-based awards, and dividend equivalent rights to our employees, officers, non-employee directors, consultants, and advisors. The maximum number of ordinary shares authorized for issuance under the 2020 Plan is 7,500,000, plus an additional number of shares equal to the number of PSUs outstanding under the 2016 Performance Equity Plan that expire, terminate, or are otherwise surrendered, canceled, or forfeited.</w:t>
      </w:r>
    </w:p>
    <w:p>
      <w:pPr>
        <w:pStyle w:val="TextBody"/>
        <w:bidi w:val="0"/>
        <w:spacing w:lineRule="auto" w:line="288" w:before="220" w:after="283"/>
        <w:ind w:left="0" w:right="0" w:firstLine="720"/>
        <w:jc w:val="left"/>
        <w:rPr/>
      </w:pPr>
      <w:r>
        <w:rPr>
          <w:rFonts w:ascii="Arial;sans-serif" w:hAnsi="Arial;sans-serif"/>
          <w:b w:val="false"/>
          <w:color w:val="000000"/>
          <w:sz w:val="20"/>
        </w:rPr>
        <w:t>As of June 30, 2026,</w:t>
      </w:r>
      <w:r>
        <w:rPr>
          <w:color w:val="EE2724"/>
        </w:rPr>
        <w:t xml:space="preserve"> </w:t>
      </w:r>
      <w:r>
        <w:rPr>
          <w:rFonts w:ascii="Arial;sans-serif" w:hAnsi="Arial;sans-serif"/>
          <w:b w:val="false"/>
          <w:color w:val="000000"/>
          <w:sz w:val="20"/>
        </w:rPr>
        <w:t>1,221,655 ordinary shares were available for future awards under our 2020 Plan. For PSUs where the performance condition has not been completed, we assumed that we would issue the maximum potential ordinary shares based on the terms described below.</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Performance share units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current fiscal year, we issued PSUs (the "2026 PSUs") as part of our long-term incentive program. The 2026 PSUs include both a service and performance condition. The performance condition for these awards was based on one-year financial targets for fiscal year 2026 variable gross profit and adjusted EBITDA. Actual shares issued for each grant could range from 60% to 160% of the number of 2026 PSUs granted based on the attainment of the performance condition. The final measurement of the performance condition will occur during the first quarter of fiscal year 2027.</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years ended June 30, 2025 and 2024, we issued PSUs as part of our long-term incentive program. These PSUs include both a service and performance condition. The performance condition for these awards was based on one-year financial targets in each applicable fiscal year for revenue, adjusted EBITDA, and unlevered free cash flow.</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May 23, 2025, the Compensation Committee of Cimpress' Board of Directors amended the terms of the 2025 PSUs to incorporate a minimum performance attainment of 60%, subject to the Compensation Committee's discretion to account for non-recurring items, that previously had been 0%. The change of terms impacted all 276 PSU grant recipients for the 2025 PSUs with awards outstanding as of the modification date. The modification resulted in incremental compensation expense of $4,800 from the awards for which estimated attainment as of the modification date was below 60%.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 summary of our PSU activity and related information for the fiscal year ended June 30, 2026 is as follows:</w:t>
      </w:r>
    </w:p>
    <w:tbl>
      <w:tblPr>
        <w:tblW w:w="7607" w:type="dxa"/>
        <w:jc w:val="left"/>
        <w:tblInd w:w="0" w:type="dxa"/>
        <w:tblLayout w:type="fixed"/>
        <w:tblCellMar>
          <w:top w:w="28" w:type="dxa"/>
          <w:left w:w="28" w:type="dxa"/>
          <w:bottom w:w="28" w:type="dxa"/>
          <w:right w:w="28" w:type="dxa"/>
        </w:tblCellMar>
      </w:tblPr>
      <w:tblGrid>
        <w:gridCol w:w="1281"/>
        <w:gridCol w:w="1128"/>
        <w:gridCol w:w="1131"/>
        <w:gridCol w:w="488"/>
        <w:gridCol w:w="488"/>
        <w:gridCol w:w="151"/>
        <w:gridCol w:w="109"/>
        <w:gridCol w:w="109"/>
        <w:gridCol w:w="109"/>
        <w:gridCol w:w="222"/>
        <w:gridCol w:w="759"/>
        <w:gridCol w:w="114"/>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Weighted-</w:t>
              <w:br/>
              <w:t>Average</w:t>
              <w:br/>
              <w:t>Grant 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Aggregate</w:t>
              <w:br/>
              <w:t>Intrinsic</w:t>
              <w:br/>
              <w:t>Value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the beginning of the period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2,260,459 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701,894 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distributed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(297,389)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(255,943)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the end of the period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2,409,021 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900"/>
        <w:jc w:val="left"/>
        <w:rPr/>
      </w:pPr>
      <w:r>
        <w:rPr>
          <w:rFonts w:ascii="Arial;sans-serif" w:hAnsi="Arial;sans-serif"/>
          <w:b w:val="false"/>
          <w:color w:val="000000"/>
          <w:sz w:val="20"/>
        </w:rPr>
        <w:t>The weighted average fair value of PSUs granted during the fiscal years ended June 30, 2026, 2025, and 2024 was $59.33, $80.80, and $70.21, respectively. The total intrinsic value of PSUs outstanding as of June 30, 2026, 2025, and 2024 was $244,997, $106,242, and $169,512, respectively. The total intrinsic value of PSUs assumes that the performance condition is met at target if the final measurement has not been determined; however, it is possible that a portion or all of these PSUs granted before fiscal year 2025 will not achieve the associated market condition. As of June 30, 2026, the number of shares subject to PSUs included in the table above assumes the issuance of one share for each PSU, but based on the terms of each program as described above, the actual issuance of shares could range from a minimum of 751,087 shares to a maximum of 4,893,636</w:t>
      </w:r>
      <w:r>
        <w:rPr>
          <w:color w:val="000000"/>
        </w:rPr>
        <w:t xml:space="preserve"> </w:t>
      </w:r>
      <w:r>
        <w:rPr>
          <w:rFonts w:ascii="Arial;sans-serif" w:hAnsi="Arial;sans-serif"/>
          <w:b w:val="false"/>
          <w:color w:val="000000"/>
          <w:sz w:val="20"/>
        </w:rPr>
        <w:t>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Restricted share units</w:t>
      </w:r>
    </w:p>
    <w:p>
      <w:pPr>
        <w:pStyle w:val="TextBody"/>
        <w:bidi w:val="0"/>
        <w:spacing w:before="0" w:after="0"/>
        <w:ind w:left="0" w:right="0" w:firstLine="36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The fair value of an RSU award is equal to the fair market value of our ordinary shares on the date of grant and the expense is recognized on a straight-line basis over the requisite service period. RSUs generally vest over 4 years.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 summary of our RSU activity and related information for the fiscal year ended June 30, 2026 is as follows:</w:t>
      </w:r>
    </w:p>
    <w:tbl>
      <w:tblPr>
        <w:tblW w:w="7215" w:type="dxa"/>
        <w:jc w:val="left"/>
        <w:tblInd w:w="0" w:type="dxa"/>
        <w:tblLayout w:type="fixed"/>
        <w:tblCellMar>
          <w:top w:w="28" w:type="dxa"/>
          <w:left w:w="28" w:type="dxa"/>
          <w:bottom w:w="28" w:type="dxa"/>
          <w:right w:w="28" w:type="dxa"/>
        </w:tblCellMar>
      </w:tblPr>
      <w:tblGrid>
        <w:gridCol w:w="1204"/>
        <w:gridCol w:w="1059"/>
        <w:gridCol w:w="1066"/>
        <w:gridCol w:w="449"/>
        <w:gridCol w:w="451"/>
        <w:gridCol w:w="151"/>
        <w:gridCol w:w="109"/>
        <w:gridCol w:w="109"/>
        <w:gridCol w:w="109"/>
        <w:gridCol w:w="247"/>
        <w:gridCol w:w="721"/>
        <w:gridCol w:w="127"/>
        <w:gridCol w:w="109"/>
        <w:gridCol w:w="109"/>
        <w:gridCol w:w="109"/>
        <w:gridCol w:w="211"/>
        <w:gridCol w:w="721"/>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Weighted-</w:t>
              <w:br/>
              <w:t>Average</w:t>
              <w:br/>
              <w:t>Grant 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Aggregate</w:t>
              <w:br/>
              <w:t>Intrinsic</w:t>
              <w:br/>
              <w:t>Value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at the beginning of the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865,881 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503,172 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distributed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(490,722)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(71,845)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at the end of the period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806,486 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 average fair value of RSUs granted during the fiscal years ended June 30, 2026, 2025, and 2024 was $61.20, $83.71, and $71.42, respectively. The total intrinsic value of RSUs vested during the fiscal years ended June 30, 2026, 2025, and 2024 was $34,292, $38,110, and $47,661, respectively.</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Share options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granted options to purchase ordinary shares at prices that are at least equal to the fair market value of the shares on the date the option is granted and that generally vest over four years with a contractual term of ten years.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each option award subject only to service period vesting is estimated on the date of grant using the Black-Scholes option pricing model.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did not grant any share options in fiscal years 2026, 2025 or 2024.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 summary of our share option activity and related information for the year ended June 30, 2026 is as follows:</w:t>
      </w:r>
    </w:p>
    <w:tbl>
      <w:tblPr>
        <w:tblW w:w="9347" w:type="dxa"/>
        <w:jc w:val="left"/>
        <w:tblInd w:w="0" w:type="dxa"/>
        <w:tblLayout w:type="fixed"/>
        <w:tblCellMar>
          <w:top w:w="28" w:type="dxa"/>
          <w:left w:w="28" w:type="dxa"/>
          <w:bottom w:w="28" w:type="dxa"/>
          <w:right w:w="28" w:type="dxa"/>
        </w:tblCellMar>
      </w:tblPr>
      <w:tblGrid>
        <w:gridCol w:w="1281"/>
        <w:gridCol w:w="1128"/>
        <w:gridCol w:w="1131"/>
        <w:gridCol w:w="624"/>
        <w:gridCol w:w="624"/>
        <w:gridCol w:w="627"/>
        <w:gridCol w:w="109"/>
        <w:gridCol w:w="109"/>
        <w:gridCol w:w="109"/>
        <w:gridCol w:w="211"/>
        <w:gridCol w:w="616"/>
        <w:gridCol w:w="109"/>
        <w:gridCol w:w="109"/>
        <w:gridCol w:w="109"/>
        <w:gridCol w:w="109"/>
        <w:gridCol w:w="309"/>
        <w:gridCol w:w="309"/>
        <w:gridCol w:w="311"/>
        <w:gridCol w:w="109"/>
        <w:gridCol w:w="109"/>
        <w:gridCol w:w="109"/>
        <w:gridCol w:w="211"/>
        <w:gridCol w:w="72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 Pursuant to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Aggregate</w:t>
              <w:br/>
              <w:t>Intrinsic</w:t>
              <w:br/>
              <w:t>Value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the beginning of the period</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287,907 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(59,161)</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Forfeited/expired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(10,112)</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the end of the period</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218,634 </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at the end of the period</w:t>
            </w:r>
          </w:p>
        </w:tc>
        <w:tc>
          <w:tcPr>
            <w:tcW w:w="12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216,304 </w:t>
            </w:r>
          </w:p>
        </w:tc>
        <w:tc>
          <w:tcPr>
            <w:tcW w:w="6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pPr>
      <w:r>
        <w:rPr>
          <w:rFonts w:ascii="Arial;sans-serif" w:hAnsi="Arial;sans-serif"/>
          <w:b w:val="false"/>
          <w:color w:val="000000"/>
          <w:sz w:val="20"/>
        </w:rPr>
        <w:t>The intrinsic value in the table above represents the total pre-tax amount, net of exercise price, which would have been received if all option holders exercised in-the-money options on June 30, 2026</w:t>
      </w:r>
      <w:r>
        <w:rPr>
          <w:rFonts w:ascii="Arial;sans-serif" w:hAnsi="Arial;sans-serif"/>
          <w:b w:val="false"/>
          <w:color w:val="EE2724"/>
          <w:sz w:val="20"/>
        </w:rPr>
        <w:t xml:space="preserve">. </w:t>
      </w:r>
      <w:r>
        <w:rPr>
          <w:rFonts w:ascii="Arial;sans-serif" w:hAnsi="Arial;sans-serif"/>
          <w:b w:val="false"/>
          <w:color w:val="000000"/>
          <w:sz w:val="20"/>
        </w:rPr>
        <w:t>The total intrinsic value of options exercised during the fiscal years ended June 30, 2026, 2025, and 2024 was $2,023, $1,318 and $1,816,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Share-based compensation</w:t>
      </w:r>
    </w:p>
    <w:p>
      <w:pPr>
        <w:pStyle w:val="TextBody"/>
        <w:bidi w:val="0"/>
        <w:spacing w:lineRule="auto" w:line="288" w:before="220" w:after="283"/>
        <w:ind w:left="0" w:right="0" w:firstLine="720"/>
        <w:jc w:val="left"/>
        <w:rPr/>
      </w:pPr>
      <w:r>
        <w:rPr>
          <w:rFonts w:ascii="Arial;sans-serif" w:hAnsi="Arial;sans-serif"/>
          <w:b w:val="false"/>
          <w:color w:val="000000"/>
          <w:sz w:val="20"/>
        </w:rPr>
        <w:t xml:space="preserve">Total share-based compensation costs were $58,326, $58,879, and $65,584 for the years ended June 30, 2026, 2025, and 2024, respectively, and we recognize </w:t>
      </w:r>
      <w:r>
        <w:rPr>
          <w:rFonts w:ascii="Times New Roman;serif" w:hAnsi="Times New Roman;serif"/>
          <w:b w:val="false"/>
          <w:color w:val="000000"/>
          <w:sz w:val="20"/>
        </w:rPr>
        <w:t>the</w:t>
      </w:r>
      <w:r>
        <w:rPr>
          <w:color w:val="000000"/>
        </w:rPr>
        <w:t xml:space="preserve"> </w:t>
      </w:r>
      <w:r>
        <w:rPr>
          <w:rFonts w:ascii="Arial;sans-serif" w:hAnsi="Arial;sans-serif"/>
          <w:b w:val="false"/>
          <w:color w:val="000000"/>
          <w:sz w:val="20"/>
        </w:rPr>
        <w:t xml:space="preserve">impact of forfeitures as they occur. Share-based compensation costs capitalized as part of software and website development costs were $3,426, $3,808, and $3,160 for the years ended June 30, 2026, 2025, and 2024, respectively.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years ended June 30, 2026, 2025, and 2024, we recognized tax benefits on total share-based compensation costs of $10,883, $10,797, and $11,970, respectively, prior to any consideration of any valuation allowance, as part of income tax expense (benefit). For the years ended June 30, 2026, 2025, and 2024, tax benefit (expense) related to awards vested or exercised was $(49), $426, and $1,190, respectively. </w:t>
      </w:r>
    </w:p>
    <w:p>
      <w:pPr>
        <w:pStyle w:val="TextBody"/>
        <w:bidi w:val="0"/>
        <w:spacing w:lineRule="auto" w:line="288" w:before="220" w:after="283"/>
        <w:ind w:left="0" w:right="0" w:firstLine="720"/>
        <w:jc w:val="left"/>
        <w:rPr/>
      </w:pPr>
      <w:r>
        <w:rPr>
          <w:rFonts w:ascii="Arial;sans-serif" w:hAnsi="Arial;sans-serif"/>
          <w:b w:val="false"/>
          <w:color w:val="000000"/>
          <w:sz w:val="20"/>
        </w:rPr>
        <w:t>As of June 30, 2026, there was $67,773</w:t>
      </w:r>
      <w:r>
        <w:rPr>
          <w:color w:val="000000"/>
        </w:rPr>
        <w:t xml:space="preserve"> </w:t>
      </w:r>
      <w:r>
        <w:rPr>
          <w:rFonts w:ascii="Arial;sans-serif" w:hAnsi="Arial;sans-serif"/>
          <w:b w:val="false"/>
          <w:color w:val="000000"/>
          <w:sz w:val="20"/>
        </w:rPr>
        <w:t>of total unrecognized compensation cost related to non-vested, share-based compensation arrangements. This cost is expected to be recognized over a weighted average period of 2.0</w:t>
      </w:r>
      <w:r>
        <w:rPr>
          <w:color w:val="000000"/>
        </w:rPr>
        <w:t xml:space="preserve"> </w:t>
      </w:r>
      <w:r>
        <w:rPr>
          <w:rFonts w:ascii="Arial;sans-serif" w:hAnsi="Arial;sans-serif"/>
          <w:b w:val="false"/>
          <w:color w:val="000000"/>
          <w:sz w:val="20"/>
        </w:rPr>
        <w:t>years.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Subsidiary level equity arrangements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fiscal year 2026, we sold subsidiary level equity with a share-based compensation element, which resulted in share-based compensation expense of $3,053 recognized for the year ended June 30, 2026. Refer to Note 14 for additional details. </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Purchase and retirement of ordinary shares</w:t>
      </w:r>
    </w:p>
    <w:p>
      <w:pPr>
        <w:pStyle w:val="TextBody"/>
        <w:bidi w:val="0"/>
        <w:spacing w:lineRule="auto" w:line="288" w:before="220" w:after="283"/>
        <w:ind w:left="0" w:right="0" w:firstLine="720"/>
        <w:jc w:val="left"/>
        <w:rPr/>
      </w:pPr>
      <w:r>
        <w:rPr>
          <w:rFonts w:ascii="Arial;sans-serif" w:hAnsi="Arial;sans-serif"/>
          <w:b w:val="false"/>
          <w:color w:val="000000"/>
          <w:sz w:val="20"/>
        </w:rPr>
        <w:t>During the year ended June 30, 2026, we repurchased 702,820 of our ordinary shares for $50,077. The shares were immediately retired after repurchase and therefore have been classified as authorized and unissued shares as of June 30, 2026. The retirement of the repurchased ordinary shares resulted in a reduction in ordinary shares of $8, as well as a reduction to additional paid in capital and retained earnings of $10,625</w:t>
      </w:r>
      <w:r>
        <w:rPr>
          <w:color w:val="000000"/>
        </w:rPr>
        <w:t xml:space="preserve"> </w:t>
      </w:r>
      <w:r>
        <w:rPr>
          <w:rFonts w:ascii="Arial;sans-serif" w:hAnsi="Arial;sans-serif"/>
          <w:b w:val="false"/>
          <w:color w:val="000000"/>
          <w:sz w:val="20"/>
        </w:rPr>
        <w:t>and $39,444,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12. Employees' Savings Plans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Defined contribution plans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expensed $25,815, $18,706, and $17,100 for our government-mandated and defined contribution plans in the years ended June 30, 2026, 2025, and 2024, respectively.</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Defined benefit plans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maintain defined benefit and statutory gratuity plans covering eligible employees across multiple jurisdictions. These plans represent statutory obligations with benefits generally determined based on years of service and employee compensation; however, the specific terms and level of benefits vary by jurisdiction in accordance with local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certain funded arrangements, both we and certain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and 2025, the combined net pension liability of all defined benefit and statutory gratuity plans recognized on our consolidated balance sheets was approximately $10,056 and $1,988, respectively. Plan assets, which relate solely to our funded arrangements, totaled approximately $8,740 and $7,494 as of June 30, 2026 and 2025, respectively. For the years ended June 30, 2026, 2025, and 2024 we recognized expense totaling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$1,914, $423, and $438, respectively, related to these plans. The increase in the net pension liability during fiscal year 2026 was driven in part by obligations assumed in connection with business acquisitions in the current fiscal year and changes in statutory requirements in one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rial;sans-serif" w:hAnsi="Arial;sans-serif"/>
          <w:b/>
          <w:color w:val="000000"/>
          <w:sz w:val="20"/>
        </w:rPr>
      </w:pPr>
      <w:r>
        <w:rPr>
          <w:rFonts w:ascii="Arial;sans-serif" w:hAnsi="Arial;sans-serif"/>
          <w:b/>
          <w:color w:val="000000"/>
          <w:sz w:val="20"/>
        </w:rPr>
        <w:t>13. Income Taxes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The following is a summary of our income (loss) before income taxes by geography:</w:t>
      </w:r>
    </w:p>
    <w:tbl>
      <w:tblPr>
        <w:tblW w:w="6701" w:type="dxa"/>
        <w:jc w:val="left"/>
        <w:tblInd w:w="0" w:type="dxa"/>
        <w:tblLayout w:type="fixed"/>
        <w:tblCellMar>
          <w:top w:w="28" w:type="dxa"/>
          <w:left w:w="28" w:type="dxa"/>
          <w:bottom w:w="28" w:type="dxa"/>
          <w:right w:w="28" w:type="dxa"/>
        </w:tblCellMar>
      </w:tblPr>
      <w:tblGrid>
        <w:gridCol w:w="875"/>
        <w:gridCol w:w="768"/>
        <w:gridCol w:w="771"/>
        <w:gridCol w:w="211"/>
        <w:gridCol w:w="826"/>
        <w:gridCol w:w="109"/>
        <w:gridCol w:w="109"/>
        <w:gridCol w:w="109"/>
        <w:gridCol w:w="109"/>
        <w:gridCol w:w="211"/>
        <w:gridCol w:w="901"/>
        <w:gridCol w:w="109"/>
        <w:gridCol w:w="109"/>
        <w:gridCol w:w="109"/>
        <w:gridCol w:w="109"/>
        <w:gridCol w:w="211"/>
        <w:gridCol w:w="90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(Ireland)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components of the (benefit) provision for income taxes are as follows:</w:t>
      </w:r>
    </w:p>
    <w:tbl>
      <w:tblPr>
        <w:tblW w:w="6941" w:type="dxa"/>
        <w:jc w:val="left"/>
        <w:tblInd w:w="0" w:type="dxa"/>
        <w:tblLayout w:type="fixed"/>
        <w:tblCellMar>
          <w:top w:w="28" w:type="dxa"/>
          <w:left w:w="28" w:type="dxa"/>
          <w:bottom w:w="28" w:type="dxa"/>
          <w:right w:w="28" w:type="dxa"/>
        </w:tblCellMar>
      </w:tblPr>
      <w:tblGrid>
        <w:gridCol w:w="1102"/>
        <w:gridCol w:w="969"/>
        <w:gridCol w:w="973"/>
        <w:gridCol w:w="211"/>
        <w:gridCol w:w="721"/>
        <w:gridCol w:w="109"/>
        <w:gridCol w:w="109"/>
        <w:gridCol w:w="109"/>
        <w:gridCol w:w="109"/>
        <w:gridCol w:w="211"/>
        <w:gridCol w:w="721"/>
        <w:gridCol w:w="109"/>
        <w:gridCol w:w="109"/>
        <w:gridCol w:w="109"/>
        <w:gridCol w:w="109"/>
        <w:gridCol w:w="211"/>
        <w:gridCol w:w="79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tax expense (benefit):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(Ireland)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tax expense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expense(benefit):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(Ireland)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expense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(49,362)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We adopted Accounting Standards Update No. 2023-09 "Income Taxes (Topic 740): Improvements to Income Tax Disclosures" (ASU 2023-09) for the annual period ended June 30, 2026 on a retrospective basis for all periods presented. In accordance with ASU 2023-09, the following is a reconciliation of the standard federal statutory tax rate in our country of domicile, which is the Irish trading rate of 12.5%, and our effective tax rate:</w:t>
      </w:r>
    </w:p>
    <w:tbl>
      <w:tblPr>
        <w:tblW w:w="10205" w:type="dxa"/>
        <w:jc w:val="left"/>
        <w:tblInd w:w="0" w:type="dxa"/>
        <w:tblLayout w:type="fixed"/>
        <w:tblCellMar>
          <w:top w:w="28" w:type="dxa"/>
          <w:left w:w="28" w:type="dxa"/>
          <w:bottom w:w="28" w:type="dxa"/>
          <w:right w:w="28" w:type="dxa"/>
        </w:tblCellMar>
      </w:tblPr>
      <w:tblGrid>
        <w:gridCol w:w="1162"/>
        <w:gridCol w:w="945"/>
        <w:gridCol w:w="948"/>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317"/>
      </w:tblGrid>
      <w:tr>
        <w:trPr/>
        <w:tc>
          <w:tcPr>
            <w:tcW w:w="116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w:t>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Irish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Foreign tax effects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Bermuda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Brazil and Ireland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and local income tax, net of federal (national) income tax effect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7"/>
        <w:gridCol w:w="1102"/>
        <w:gridCol w:w="1109"/>
        <w:gridCol w:w="359"/>
        <w:gridCol w:w="362"/>
        <w:gridCol w:w="109"/>
        <w:gridCol w:w="109"/>
        <w:gridCol w:w="109"/>
        <w:gridCol w:w="109"/>
        <w:gridCol w:w="224"/>
        <w:gridCol w:w="226"/>
        <w:gridCol w:w="271"/>
        <w:gridCol w:w="109"/>
        <w:gridCol w:w="109"/>
        <w:gridCol w:w="109"/>
        <w:gridCol w:w="359"/>
        <w:gridCol w:w="362"/>
        <w:gridCol w:w="109"/>
        <w:gridCol w:w="109"/>
        <w:gridCol w:w="109"/>
        <w:gridCol w:w="109"/>
        <w:gridCol w:w="254"/>
        <w:gridCol w:w="257"/>
        <w:gridCol w:w="271"/>
        <w:gridCol w:w="109"/>
        <w:gridCol w:w="109"/>
        <w:gridCol w:w="109"/>
        <w:gridCol w:w="381"/>
        <w:gridCol w:w="384"/>
        <w:gridCol w:w="109"/>
        <w:gridCol w:w="109"/>
        <w:gridCol w:w="109"/>
        <w:gridCol w:w="109"/>
        <w:gridCol w:w="276"/>
        <w:gridCol w:w="279"/>
        <w:gridCol w:w="320"/>
      </w:tblGrid>
      <w:tr>
        <w:trPr/>
        <w:tc>
          <w:tcPr>
            <w:tcW w:w="144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w:t>
            </w:r>
          </w:p>
        </w:tc>
      </w:tr>
      <w:tr>
        <w:trPr/>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Germany and Ireland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and local income tax, net of federal (national) income tax effect (2)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Italy and Ireland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and local income tax, net of federal (national) income tax effect (3)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Japan and Ireland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The Netherlands and Ireland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Spain and Ireland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Switzerland and Ireland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and local income tax, net of federal (national) income tax effect (4)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Statutory tax rate difference between the United States and Ireland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Tax credits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tax credits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IRC Section 162(m)</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windfall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Royalty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foreign jurisdictions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cross-border tax laws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repatriated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Tax credits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tax credits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Changes in valuation allowances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Nontaxable or nondeductible items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Intercompany debt forgiveness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0"/>
        <w:gridCol w:w="909"/>
        <w:gridCol w:w="922"/>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86"/>
        <w:gridCol w:w="286"/>
        <w:gridCol w:w="271"/>
        <w:gridCol w:w="109"/>
        <w:gridCol w:w="109"/>
        <w:gridCol w:w="109"/>
        <w:gridCol w:w="211"/>
        <w:gridCol w:w="782"/>
        <w:gridCol w:w="109"/>
        <w:gridCol w:w="109"/>
        <w:gridCol w:w="109"/>
        <w:gridCol w:w="109"/>
        <w:gridCol w:w="284"/>
        <w:gridCol w:w="287"/>
        <w:gridCol w:w="319"/>
      </w:tblGrid>
      <w:tr>
        <w:trPr/>
        <w:tc>
          <w:tcPr>
            <w:tcW w:w="10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w:t>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Changes in unrecognized tax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Effective income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Ontario accounted for the majority (greater than 50 percent) of the tax effect in this category for all periods presented.</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Trade tax for Berlin and Backnang accounted for the majority (greater than 50 percent) of the tax effect in this category for all periods presented.</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(3) Imposta Regionale sulle Attivita Produttive (IRAP) for Veneto accounted for the majority (greater than 50 percent) of the tax effect in this category for all periods presented.</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(4) Cantonal tax for Zurich accounted for the majority (greater than 50 percent) of the tax effect in this category for all periods presented. This includes changes in valuation allowances of $26,804 and $(86,581) for fiscal years 2025 and 2024,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year ended June 30, 2026, our effective tax rate was above the Irish federal statutory tax rate primarily due to generally higher tax rates in other jurisdictions in which we operate, including state and local tax rates, and non-deductible interest expense. </w:t>
      </w:r>
    </w:p>
    <w:p>
      <w:pPr>
        <w:pStyle w:val="TextBody"/>
        <w:bidi w:val="0"/>
        <w:spacing w:before="0" w:after="0"/>
        <w:ind w:left="0" w:right="0" w:firstLine="720"/>
        <w:jc w:val="left"/>
        <w:rPr/>
      </w:pPr>
      <w:r>
        <w:rPr/>
      </w:r>
    </w:p>
    <w:p>
      <w:pPr>
        <w:pStyle w:val="TextBody"/>
        <w:bidi w:val="0"/>
        <w:spacing w:lineRule="auto" w:line="26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year ended June 30, 2026, our effective tax rate was 36.5% as compared to the prior year effective tax rate of 86.7%. The decrease in our effective tax rate as compared to the prior year is primarily due to changes in the Swiss valuation allowance year-over-year as discussed below and reduced losses in certain jurisdictions for which we cannot recognize a tax benefit. Our fiscal year 2025 effective tax rate was higher than fiscal year 2024 primarily due to changes in the Swiss valuation allowance year-over-year as discussed below. </w:t>
      </w:r>
    </w:p>
    <w:p>
      <w:pPr>
        <w:pStyle w:val="TextBody"/>
        <w:bidi w:val="0"/>
        <w:spacing w:lineRule="auto" w:line="26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In the year ended June 30, 2025 we recorded a change in estimate for our Swiss valuation allowance on Swiss deferred tax assets related to Swiss tax reform benefits recognized in fiscal year 2020. We recognized tax expense of $26,804 to adjust the partial valuation allowance in Switzerland to reflect the current estimated usage of these tax assets. We considered all available evidence, including the near-term impact of recent product-mix shifts in the VistaPrint segment, the expectation of the timing of future taxable income, and the expiration of the tax assets. This is compared to a tax benefit of $105,765 in the year ended June 30, 2024 to partially release the full valuation allowance previously recorded in the quarter ended December 31, 2022. As some of these tax assets will expire prior to when they can be used, a partial valuation allowance remained against those expected to expire unused. The prior year release was based on cumulative income in Switzerland plus current period and forecasted profits resulting in the ability to utilize some of these tax assets prior to their expiration. We continue in a partial valuation allowance position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Significant components of our deferred income tax assets and liabilities consisted of the following at June 30, 2026 and 2025:</w:t>
      </w:r>
    </w:p>
    <w:tbl>
      <w:tblPr>
        <w:tblW w:w="7224" w:type="dxa"/>
        <w:jc w:val="center"/>
        <w:tblInd w:w="0" w:type="dxa"/>
        <w:tblLayout w:type="fixed"/>
        <w:tblCellMar>
          <w:top w:w="28" w:type="dxa"/>
          <w:left w:w="28" w:type="dxa"/>
          <w:bottom w:w="28" w:type="dxa"/>
          <w:right w:w="28" w:type="dxa"/>
        </w:tblCellMar>
      </w:tblPr>
      <w:tblGrid>
        <w:gridCol w:w="1650"/>
        <w:gridCol w:w="1453"/>
        <w:gridCol w:w="1457"/>
        <w:gridCol w:w="211"/>
        <w:gridCol w:w="826"/>
        <w:gridCol w:w="109"/>
        <w:gridCol w:w="109"/>
        <w:gridCol w:w="109"/>
        <w:gridCol w:w="109"/>
        <w:gridCol w:w="211"/>
        <w:gridCol w:w="826"/>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Swiss tax-amortizable 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loss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 credit and other carryforwards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Internal Revenue Code Section 174 capitalization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limitation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on unremitted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In assessing the realizability of deferred tax assets, we consider whether it is more likely than not that some or all of the deferred tax assets will not be realized. We have recorded a partial valuation allowance of $77,091 against the Swiss tax-amortizable goodwill deferred tax asset, which we can only benefit from through December 31, 2029 under our Swiss tax ruling. In addition, we have recorded valuation allowances of $48,219 against deferred tax assets related to tax losses in certain jurisdictions (mainly Bermuda, Brazil, Ireland and the United Kingdom), $33,737 against interest limitation carryforwards (mainly the Netherlands and the U.S.), and $30,516 against Irish foreign tax credits, for which management has determined that it is more likely than not that these will not be realized. Many of the tax losses, the interest limitation carryforwards and the foreign tax credit carryforwards do not expire, but management has determined it is more likely than not that these will not be utilized. We will continue to assess the realization of the deferred tax assets based on operating results on a quarterly basis.</w:t>
      </w:r>
    </w:p>
    <w:p>
      <w:pPr>
        <w:pStyle w:val="TextBody"/>
        <w:bidi w:val="0"/>
        <w:spacing w:before="6" w:after="283"/>
        <w:ind w:left="0" w:right="0" w:firstLine="720"/>
        <w:jc w:val="left"/>
        <w:rPr/>
      </w:pPr>
      <w:r>
        <w:rPr/>
      </w:r>
    </w:p>
    <w:p>
      <w:pPr>
        <w:pStyle w:val="TextBody"/>
        <w:bidi w:val="0"/>
        <w:spacing w:lineRule="auto" w:line="288" w:before="6" w:after="283"/>
        <w:ind w:left="0" w:right="0" w:firstLine="720"/>
        <w:jc w:val="left"/>
        <w:rPr>
          <w:rFonts w:ascii="Arial;sans-serif" w:hAnsi="Arial;sans-serif"/>
          <w:b w:val="false"/>
          <w:color w:val="000000"/>
          <w:sz w:val="20"/>
        </w:rPr>
      </w:pPr>
      <w:r>
        <w:rPr>
          <w:rFonts w:ascii="Arial;sans-serif" w:hAnsi="Arial;sans-serif"/>
          <w:b w:val="false"/>
          <w:color w:val="000000"/>
          <w:sz w:val="20"/>
        </w:rPr>
        <w:t>A reconciliation of the beginning and ending amount of the valuation allowance for the year ended June 30, 2026 is as follows:</w:t>
      </w:r>
    </w:p>
    <w:tbl>
      <w:tblPr>
        <w:tblW w:w="3725" w:type="dxa"/>
        <w:jc w:val="center"/>
        <w:tblInd w:w="0" w:type="dxa"/>
        <w:tblLayout w:type="fixed"/>
        <w:tblCellMar>
          <w:top w:w="28" w:type="dxa"/>
          <w:left w:w="28" w:type="dxa"/>
          <w:bottom w:w="28" w:type="dxa"/>
          <w:right w:w="28" w:type="dxa"/>
        </w:tblCellMar>
      </w:tblPr>
      <w:tblGrid>
        <w:gridCol w:w="917"/>
        <w:gridCol w:w="807"/>
        <w:gridCol w:w="810"/>
        <w:gridCol w:w="211"/>
        <w:gridCol w:w="82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 to earnings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 to other accounts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236,293 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Amount is primarily related to tax loss expirations in certain jurisdictions (mainly Japan), a release of the valuation allowance in Australia, and unrealized gains on derivative financial instruments included in comprehensive income, offset by increased losses in certain jurisdictions (mainly Brazil).</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Amount is primarily related to unrealized gains on derivative financial instruments included in accumulated other comprehensive loss.</w:t>
      </w:r>
    </w:p>
    <w:p>
      <w:pPr>
        <w:pStyle w:val="TextBody"/>
        <w:bidi w:val="0"/>
        <w:spacing w:lineRule="auto" w:line="288" w:before="220" w:after="283"/>
        <w:ind w:left="0" w:right="0" w:firstLine="720"/>
        <w:jc w:val="left"/>
        <w:rPr/>
      </w:pPr>
      <w:r>
        <w:rPr>
          <w:rFonts w:ascii="Arial;sans-serif" w:hAnsi="Arial;sans-serif"/>
          <w:b w:val="false"/>
          <w:color w:val="000000"/>
          <w:sz w:val="20"/>
        </w:rPr>
        <w:t>As of June 30, 2026, we had tax-effected U.S. federal and state net operating losses of $276 and $1,399, respectively,</w:t>
      </w:r>
      <w:r>
        <w:rPr>
          <w:color w:val="000000"/>
        </w:rPr>
        <w:t xml:space="preserve"> </w:t>
      </w:r>
      <w:r>
        <w:rPr>
          <w:rFonts w:ascii="Arial;sans-serif" w:hAnsi="Arial;sans-serif"/>
          <w:b w:val="false"/>
          <w:color w:val="000000"/>
          <w:sz w:val="20"/>
        </w:rPr>
        <w:t xml:space="preserve">that expire on various dates from fiscal year 2031 through fiscal year 2046 or with unlimited carryforward. We also had tax-effected non-U.S. net operating loss carryforwards of $50,742, with amounts expiring on various dates through fiscal year 2033 or having unlimited carryforward. In addition, we had $31,858 of tax credit carryforwards primarily related to U.S. federal and state research and development credits, which expire on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dates beginning in fiscal year 2030 or have unlimited carryforward. Lastly, we had $30,516 of Irish foreign tax credits with unlimited carryforward. The benefits of these carryforwards are dependent upon the generation of taxable income in the jurisdictions in which they arose.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consider the following factors, among others, in evaluating our plans for indefinite reinvestment of our subsidiaries’ earnings: (i) the forecasts, budgets, and financial requirements of both our parent company and its subsidiaries, both for the long term and for the short term; (ii) the ability of Cimpress plc to fund its operations and obligations with earnings from other businesses within the global group without incurring substantial tax costs; and (iii) the tax consequences of any decision to reinvest earnings of any subsidiary. If, in the future, we decide to repatriate the undistributed earnings from certain subsidiaries that are considered indefinitely reinvested in the form of dividends or otherwise, we could be subject to withholding taxes payable in the range of $20,000 to $22,000 at that time. A cumulative deferred tax liability of $9,363 has been recorded attributable to undistributed earnings that we have deemed are not indefinitely reinvested.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 reconciliation of the gross beginning and ending amount of unrecognized tax benefits is as follows:</w:t>
      </w:r>
    </w:p>
    <w:tbl>
      <w:tblPr>
        <w:tblW w:w="6261" w:type="dxa"/>
        <w:jc w:val="center"/>
        <w:tblInd w:w="0" w:type="dxa"/>
        <w:tblLayout w:type="fixed"/>
        <w:tblCellMar>
          <w:top w:w="28" w:type="dxa"/>
          <w:left w:w="28" w:type="dxa"/>
          <w:bottom w:w="28" w:type="dxa"/>
          <w:right w:w="28" w:type="dxa"/>
        </w:tblCellMar>
      </w:tblPr>
      <w:tblGrid>
        <w:gridCol w:w="1872"/>
        <w:gridCol w:w="1645"/>
        <w:gridCol w:w="1658"/>
        <w:gridCol w:w="211"/>
        <w:gridCol w:w="721"/>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the current tax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prior tax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based on tax positions related to prior tax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audit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Cumulative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the current tax year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prior tax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based on tax positions related to prior tax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audit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lapse of statute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Cumulative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the current tax year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based on tax positions related to prior tax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based on tax positions related to prior tax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audit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due to 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Cumulative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year ended June 30, 2026, the amount of unrecognized tax benefits (exclusive of interest) that, if recognized, would impact the effective tax rate is $2,060. We recognize interest and, if applicable, penalties related to unrecognized tax benefits in income tax expense. The interest and penalties recognized as of years ended June 30, 2026, 2025, and 2024 were $116, $17, and $2,394, respectively. We believe we have appropriately provided for all tax uncertainties.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conduct business in a number of tax jurisdictions and, as such, are required to file income tax returns in multiple jurisdictions globally. The fiscal years 2021 through 2026 remain open to examination in the various tax jurisdictions in which we file. In addition, for certain tax attribute carryforwards originating in fiscal years 2014 through 2026, the statute of limitations will be dependent on the year in which the attributes are utilized.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audited, is uncertain, and therefore there is a possibility that final resolution of these matters could have a material impact on our results of operations or cash flows.</w:t>
      </w:r>
    </w:p>
    <w:p>
      <w:pPr>
        <w:pStyle w:val="TextBody"/>
        <w:bidi w:val="0"/>
        <w:spacing w:before="0" w:after="0"/>
        <w:ind w:left="0" w:right="0" w:firstLine="72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net income taxes paid, disaggregated by jurisdiction:</w:t>
      </w:r>
    </w:p>
    <w:tbl>
      <w:tblPr>
        <w:tblW w:w="5876" w:type="dxa"/>
        <w:jc w:val="left"/>
        <w:tblInd w:w="0" w:type="dxa"/>
        <w:tblLayout w:type="fixed"/>
        <w:tblCellMar>
          <w:top w:w="28" w:type="dxa"/>
          <w:left w:w="28" w:type="dxa"/>
          <w:bottom w:w="28" w:type="dxa"/>
          <w:right w:w="28" w:type="dxa"/>
        </w:tblCellMar>
      </w:tblPr>
      <w:tblGrid>
        <w:gridCol w:w="745"/>
        <w:gridCol w:w="653"/>
        <w:gridCol w:w="656"/>
        <w:gridCol w:w="211"/>
        <w:gridCol w:w="721"/>
        <w:gridCol w:w="109"/>
        <w:gridCol w:w="109"/>
        <w:gridCol w:w="109"/>
        <w:gridCol w:w="109"/>
        <w:gridCol w:w="211"/>
        <w:gridCol w:w="721"/>
        <w:gridCol w:w="109"/>
        <w:gridCol w:w="109"/>
        <w:gridCol w:w="109"/>
        <w:gridCol w:w="109"/>
        <w:gridCol w:w="211"/>
        <w:gridCol w:w="72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June 30,</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(Ireland)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taxes paid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Jurisdiction is below 5% of the total for the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14. Noncontrolling Interests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some of our subsidiaries, we own a controlling equity stake, and a third party or key members of the business management team own a minority portion of the equity. These noncontrolling interests span multiple businesses and reportable segments.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During the third quarter of 2026, we completed the sale of an 8.75% aggregate equity interest in each of the businesses within our PrintBrothers reportable segment to certain members of the management team in exchange for cash proceeds of €21,000 ($24,814 based on the exchange rate in effect on the date we received the proceeds). The management team member minority interest holders are subject to a 10-year lock-up period and noncompete restrictions and hold the right, starting in 2036, to sell their interests to us at a price that considers specified market inputs. We recognized the redeemable noncontrolling interest at the estimated fair value of €53,000 ($61,498 based on the exchange rate in effect on the date we completed the sale).</w:t>
      </w:r>
    </w:p>
    <w:p>
      <w:pPr>
        <w:pStyle w:val="TextBody"/>
        <w:bidi w:val="0"/>
        <w:spacing w:lineRule="auto" w:line="288" w:before="100" w:after="100"/>
        <w:ind w:left="0" w:right="0" w:firstLine="720"/>
        <w:jc w:val="left"/>
        <w:rPr/>
      </w:pPr>
      <w:r>
        <w:rPr>
          <w:rFonts w:ascii="Arial;sans-serif" w:hAnsi="Arial;sans-serif"/>
          <w:b w:val="false"/>
          <w:color w:val="000000"/>
          <w:sz w:val="20"/>
        </w:rPr>
        <w:t xml:space="preserve">We concluded that the arrangement includes elements that are recognized in accordance with ASC 718, </w:t>
      </w:r>
      <w:r>
        <w:rPr>
          <w:rFonts w:ascii="Arial;sans-serif" w:hAnsi="Arial;sans-serif"/>
          <w:b w:val="false"/>
          <w:i/>
          <w:color w:val="000000"/>
          <w:sz w:val="20"/>
        </w:rPr>
        <w:t xml:space="preserve">Stock Compensation, </w:t>
      </w:r>
      <w:r>
        <w:rPr>
          <w:rFonts w:ascii="Arial;sans-serif" w:hAnsi="Arial;sans-serif"/>
          <w:b w:val="false"/>
          <w:color w:val="000000"/>
          <w:sz w:val="20"/>
        </w:rPr>
        <w:t>since the counterparties to the agreement are current members of the respective management teams. Consequently, we recognized an asset of $36,684 for the difference between the estimated fair value of the redeemable noncontrolling interest and the cash consideration received. This asset will be recognized as share-based compensation expense over the noncompete period, which extends two years beyond the lock-up period, or over a 12 year period. As of June 30, 2026, $2,657 of this asset is recognized within prepaid expenses and other current assets, and $30,996 is recognized within other assets in our consolidated balance sheets.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June 30, 2026, the estimated redemption value of these redeemable noncontrolling interests was below the carrying value and therefore no adjustments were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changes in our noncontrolling interests:</w:t>
      </w:r>
    </w:p>
    <w:tbl>
      <w:tblPr>
        <w:tblW w:w="10029" w:type="dxa"/>
        <w:jc w:val="left"/>
        <w:tblInd w:w="0" w:type="dxa"/>
        <w:tblLayout w:type="fixed"/>
        <w:tblCellMar>
          <w:top w:w="28" w:type="dxa"/>
          <w:left w:w="28" w:type="dxa"/>
          <w:bottom w:w="28" w:type="dxa"/>
          <w:right w:w="28" w:type="dxa"/>
        </w:tblCellMar>
      </w:tblPr>
      <w:tblGrid>
        <w:gridCol w:w="2057"/>
        <w:gridCol w:w="1807"/>
        <w:gridCol w:w="1820"/>
        <w:gridCol w:w="486"/>
        <w:gridCol w:w="1662"/>
        <w:gridCol w:w="251"/>
        <w:gridCol w:w="109"/>
        <w:gridCol w:w="109"/>
        <w:gridCol w:w="109"/>
        <w:gridCol w:w="314"/>
        <w:gridCol w:w="1076"/>
        <w:gridCol w:w="229"/>
      </w:tblGrid>
      <w:tr>
        <w:trPr/>
        <w:tc>
          <w:tcPr>
            <w:tcW w:w="205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2024</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noncontrolling interest (1)</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to redemption value recognized in retained earnings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 (2)</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noncontrolling interests</w:t>
            </w:r>
          </w:p>
        </w:tc>
        <w:tc>
          <w:tcPr>
            <w:tcW w:w="2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Fair value adjustment from sale of noncontrolling interests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noncontrolling interests (1)</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Accretion to redemption value recognized in retained earnings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 to purchase price recognized in additional paid in capital</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 (3)</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75,567 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During fiscal years 2026 and 2025, we completed acquisitions of immaterial businesses that are part of our PrintBrothers and The Print Group reportable segments. This represents the estimated fair value of the respective noncontrolling interests upon acquisition. Refer to Note 7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During fiscal year 2025, we purchased 49% of the remaining equity interest in one of the smaller businesses previously acquired and included in our PrintBrothers reportable segment for a total purchase price of $4,579, which consisted of $4,058 of cash paid at closing, and $521 of a deferred payment that is payable in fiscal year 2029.</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In the second quarter of fiscal year 2026, the minority equity interest holders for one of our smaller businesses within the PrintBrothers reportable segment exercised their put option, which resulted in our purchase of the remaining noncontrolling interests for $11,909. In the third quarter of fiscal year 2026, we purchased the remaining noncontrolling interests in another of our smaller businesses within the PrintBrothers reportable segment for $1,792.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15. Segment Information</w:t>
      </w:r>
    </w:p>
    <w:p>
      <w:pPr>
        <w:pStyle w:val="TextBody"/>
        <w:bidi w:val="0"/>
        <w:spacing w:lineRule="auto" w:line="288" w:before="220" w:after="220"/>
        <w:ind w:left="0" w:right="0" w:firstLine="720"/>
        <w:jc w:val="left"/>
        <w:rPr>
          <w:rFonts w:ascii="Arial;sans-serif" w:hAnsi="Arial;sans-serif"/>
          <w:b w:val="false"/>
          <w:color w:val="000000"/>
          <w:sz w:val="20"/>
        </w:rPr>
      </w:pPr>
      <w:r>
        <w:rPr>
          <w:rFonts w:ascii="Arial;sans-serif" w:hAnsi="Arial;sans-serif"/>
          <w:b w:val="false"/>
          <w:color w:val="000000"/>
          <w:sz w:val="20"/>
        </w:rPr>
        <w:t>Our operating segments are based upon the manner in which our operations are managed and the availability of separate financial information reported internally to the Chief Executive Officer, who is our Chief Operating Decision Maker (“CODM”). Our CODM manages our business primarily by reviewing consolidated results by segment as part of the quarterly reporting process using EBITDA to assess performance and allocate resources to our segments.</w:t>
      </w:r>
    </w:p>
    <w:p>
      <w:pPr>
        <w:pStyle w:val="TextBody"/>
        <w:bidi w:val="0"/>
        <w:spacing w:lineRule="auto" w:line="288" w:before="220" w:after="2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we have numerous operating segments under our management reporting structure, which are reported in the following five reportable segments: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 xml:space="preserve">VistaPrint </w:t>
      </w:r>
      <w:r>
        <w:rPr>
          <w:rFonts w:ascii="Arial;sans-serif" w:hAnsi="Arial;sans-serif"/>
          <w:b w:val="false"/>
          <w:color w:val="000000"/>
          <w:sz w:val="20"/>
        </w:rPr>
        <w:t>- Consists of the operations of our VistaPrint branded websites in North America, Western Europe, Australia, New Zealand, India, and Singapore. This business also includes our 99designs by Vista business, which provides graphic design services, VistaCreate for do-it-yourself (DIY) design, our Vista x Wix partnership for small business websites, and our VistaPrint Corporate Solutions business, which serves medium-sized businesses and large corporations.</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PrintBrothers</w:t>
      </w:r>
      <w:r>
        <w:rPr>
          <w:color w:val="000000"/>
        </w:rPr>
        <w:t xml:space="preserve"> </w:t>
      </w:r>
      <w:r>
        <w:rPr>
          <w:rFonts w:ascii="Arial;sans-serif" w:hAnsi="Arial;sans-serif"/>
          <w:b w:val="false"/>
          <w:color w:val="000000"/>
          <w:sz w:val="20"/>
        </w:rPr>
        <w:t xml:space="preserve">- Includes the results of druck.at, Printdeal, and WIRmachenDRUCK, a group of Upload &amp; Print businesses that serve graphic professionals throughout Europe, primarily in Austria, Belgium, Germany, the Netherlands, and Switzerland.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 xml:space="preserve">The Print Group </w:t>
      </w:r>
      <w:r>
        <w:rPr>
          <w:rFonts w:ascii="Arial;sans-serif" w:hAnsi="Arial;sans-serif"/>
          <w:b w:val="false"/>
          <w:color w:val="000000"/>
          <w:sz w:val="20"/>
        </w:rPr>
        <w:t xml:space="preserve">- Includes the results of Easyflyer, Exaprint, Mixam, Packstyle, Pixartprinting, and Tradeprint, a group of Upload &amp; Print businesses that serve graphic professionals throughout Europe, primarily in France, Italy, Spain, and the United Kingdom and to a lesser extent in the United States.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National Pen</w:t>
      </w:r>
      <w:r>
        <w:rPr>
          <w:color w:val="000000"/>
        </w:rPr>
        <w:t xml:space="preserve"> </w:t>
      </w:r>
      <w:r>
        <w:rPr>
          <w:rFonts w:ascii="Arial;sans-serif" w:hAnsi="Arial;sans-serif"/>
          <w:b w:val="false"/>
          <w:color w:val="000000"/>
          <w:sz w:val="20"/>
        </w:rPr>
        <w:t xml:space="preserve">- Serves small businesses across geographies including North America, Europe, and Australia. The pens.com branded business sells through their ecommerce site and is supported by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marketing methods as well as direct mail and telesales. National Pen focuses on customized writing instruments and promotional products, apparel, and gifts for small- and medium-sized businesses.</w:t>
      </w:r>
    </w:p>
    <w:p>
      <w:pPr>
        <w:pStyle w:val="TextBody"/>
        <w:bidi w:val="0"/>
        <w:spacing w:lineRule="auto" w:line="288" w:before="220" w:after="60"/>
        <w:ind w:left="0" w:right="0" w:hanging="360"/>
        <w:jc w:val="left"/>
        <w:rPr/>
      </w:pPr>
      <w:r>
        <w:rPr>
          <w:color w:val="000000"/>
        </w:rPr>
        <w:t>•</w:t>
      </w:r>
      <w:r>
        <w:rPr>
          <w:rFonts w:ascii="Arial;sans-serif" w:hAnsi="Arial;sans-serif"/>
          <w:b w:val="false"/>
          <w:i/>
          <w:color w:val="000000"/>
          <w:sz w:val="20"/>
        </w:rPr>
        <w:t xml:space="preserve">All Other Businesses </w:t>
      </w:r>
      <w:r>
        <w:rPr>
          <w:rFonts w:ascii="Arial;sans-serif" w:hAnsi="Arial;sans-serif"/>
          <w:b w:val="false"/>
          <w:color w:val="000000"/>
          <w:sz w:val="20"/>
        </w:rPr>
        <w:t>- Includes two businesses grouped together based on materiality.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BuildASign is a provider of canvas-print wall décor, business signage and other large-format printed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Printi, a smaller business that is an online printing leader in Brazil.</w:t>
      </w:r>
    </w:p>
    <w:p>
      <w:pPr>
        <w:pStyle w:val="TextBody"/>
        <w:bidi w:val="0"/>
        <w:spacing w:lineRule="auto" w:line="276"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year 2026, we made updates to our previously implemented methodology for inter-segment transactions, which is used for purposes of measuring and reporting our segment financial performance. These transactions occur when one Cimpress business chooses to buy from or sell to another Cimpress business. Under the updated methodology, a merchant business (the buyer) is cross charged the variable cost of fulfillment that includes labor, materials and shipping costs, but excludes the overhead allocation that was previously included. A fulfiller business (the seller) receives inter-segment revenue that includes the variable cost of fulfillment plus a markup, as well as the shipping costs. The fulfiller profit is included in the fulfiller’s segment results, but eliminated from consolidated reporting through an inter-segment EBITDA elimination. The updated approach allows our merchant businesses to access the ultimate Cimpress variable cost of fulfillment for a given product and therefore that ultimate Cimpress variable cost can be used to determine pricing, advertising spend, and other operational decisions. We made this change to simplify the inputs required for our businesses to transact with each other, and also to set the right incentives to drive increased use of our internal production capabilities. We have recast our historical segment results for all periods presented to ensure comparability with the updated methodology. These changes in methodology have no impact on our consolidated financial results.</w:t>
      </w:r>
    </w:p>
    <w:p>
      <w:pPr>
        <w:pStyle w:val="TextBody"/>
        <w:bidi w:val="0"/>
        <w:spacing w:lineRule="auto" w:line="276"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year 2026, we updated our internal organizational structure which included the transfer of two teams from our VistaPrint reportable segment into our central functions. The change is intended to drive efficiencies through those functions. We have updated our segment presentation for all periods presented to reflect these changes.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capital allocation, and the functions of our CEO and CFO. These costs also include certain unallocated share-based compensation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pStyle w:val="TextBody"/>
        <w:bidi w:val="0"/>
        <w:spacing w:lineRule="auto" w:line="288" w:before="220" w:after="283"/>
        <w:ind w:left="0" w:right="0" w:firstLine="720"/>
        <w:jc w:val="left"/>
        <w:rPr/>
      </w:pPr>
      <w:r>
        <w:rPr>
          <w:rFonts w:ascii="Arial;sans-serif" w:hAnsi="Arial;sans-serif"/>
          <w:b w:val="false"/>
          <w:color w:val="000000"/>
          <w:sz w:val="20"/>
        </w:rPr>
        <w:t>Our balance sheet information is not presented to the CODM on an allocated basis, and therefore we do not present asset information by segment. We do regularly present to the CODM the</w:t>
      </w:r>
      <w:r>
        <w:rPr>
          <w:color w:val="3051F2"/>
        </w:rPr>
        <w:t xml:space="preserve"> </w:t>
      </w:r>
      <w:r>
        <w:rPr>
          <w:rFonts w:ascii="Arial;sans-serif" w:hAnsi="Arial;sans-serif"/>
          <w:b w:val="false"/>
          <w:color w:val="000000"/>
          <w:sz w:val="20"/>
        </w:rPr>
        <w:t>purchases of property, plant and equipment and capitalization of software and website development costs, and therefore include that information in the tables below.</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0" w:after="0"/>
        <w:jc w:val="left"/>
        <w:rPr/>
      </w:pPr>
      <w:r>
        <w:rPr/>
      </w:r>
    </w:p>
    <w:tbl>
      <w:tblPr>
        <w:tblW w:w="7573" w:type="dxa"/>
        <w:jc w:val="center"/>
        <w:tblInd w:w="0" w:type="dxa"/>
        <w:tblLayout w:type="fixed"/>
        <w:tblCellMar>
          <w:top w:w="28" w:type="dxa"/>
          <w:left w:w="28" w:type="dxa"/>
          <w:bottom w:w="28" w:type="dxa"/>
          <w:right w:w="28" w:type="dxa"/>
        </w:tblCellMar>
      </w:tblPr>
      <w:tblGrid>
        <w:gridCol w:w="936"/>
        <w:gridCol w:w="823"/>
        <w:gridCol w:w="79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668" w:type="dxa"/>
            <w:gridSpan w:val="6"/>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the discussion above for further details.</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 xml:space="preserve">(2) Refer to the "Revenue by Geographic Region" tables below for detail of the inter-segment revenue within each respective segment. </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586"/>
        <w:gridCol w:w="380"/>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58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 2026</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3,908,202 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3,736,643 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86"/>
        <w:gridCol w:w="379"/>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5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 2025</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 (1)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3,508,119 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86"/>
        <w:gridCol w:w="379"/>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5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 2024</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 (1)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3,343,550 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the discussion above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tables include segment revenue and significant segment expenses by reportable segment, as well as our reported measure of segment profit or loss, EBITDA, by reportable segment for the years ended June 30, 2026, 2025, and 2024. Total segment EBITDA shown in the tables below is prior to inter-segment eliminations. Refer to the subsequent table for a reconciliation of total segment EBITDA to income from operations and income (loss) before income taxes.</w:t>
      </w:r>
    </w:p>
    <w:tbl>
      <w:tblPr>
        <w:tblW w:w="10205" w:type="dxa"/>
        <w:jc w:val="left"/>
        <w:tblInd w:w="0" w:type="dxa"/>
        <w:tblLayout w:type="fixed"/>
        <w:tblCellMar>
          <w:top w:w="28" w:type="dxa"/>
          <w:left w:w="28" w:type="dxa"/>
          <w:bottom w:w="28" w:type="dxa"/>
          <w:right w:w="28" w:type="dxa"/>
        </w:tblCellMar>
      </w:tblPr>
      <w:tblGrid>
        <w:gridCol w:w="1079"/>
        <w:gridCol w:w="944"/>
        <w:gridCol w:w="94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07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7"/>
        <w:gridCol w:w="944"/>
        <w:gridCol w:w="94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Segment 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7"/>
        <w:gridCol w:w="944"/>
        <w:gridCol w:w="94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 2024</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VistaPrint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Segment 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and the transfer of two functions between our VistaPrint reportable segment and central and corporate costs. Refer to the discussion above for further details.</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(2) For each reportable segment, other operating expenses consists primarily of marketing and selling expense (excluding advertising expenses), technology and development expense and general and administrative expense.</w:t>
      </w:r>
    </w:p>
    <w:p>
      <w:pPr>
        <w:pStyle w:val="TextBody"/>
        <w:bidi w:val="0"/>
        <w:spacing w:lineRule="auto" w:line="276"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(3) Other segment items primarily includes certain items excluded from our definition of segment EBITDA, which includes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(4) For the years ended June 30, 2026, 2025, and 2024 total segment EBITDA was $642,129, $577,868 and $573,572 respectively. In addition to the adjustments described above as part of other segment items, total segment EBITDA excludes the impact of central and corporate costs which is not considered a reportable segment, as well as the elimination of inter-segment transactions which are included in the reconciliation to income (loss) before income taxes as outlined below. </w:t>
      </w:r>
    </w:p>
    <w:p>
      <w:pPr>
        <w:pStyle w:val="TextBody"/>
        <w:bidi w:val="0"/>
        <w:spacing w:lineRule="auto" w:line="288" w:before="220" w:after="12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a reconciliation of total segment EBITDA to income from operations and income (loss) before income taxes:</w:t>
      </w:r>
    </w:p>
    <w:tbl>
      <w:tblPr>
        <w:tblW w:w="8014" w:type="dxa"/>
        <w:jc w:val="left"/>
        <w:tblInd w:w="0" w:type="dxa"/>
        <w:tblLayout w:type="fixed"/>
        <w:tblCellMar>
          <w:top w:w="28" w:type="dxa"/>
          <w:left w:w="28" w:type="dxa"/>
          <w:bottom w:w="28" w:type="dxa"/>
          <w:right w:w="28" w:type="dxa"/>
        </w:tblCellMar>
      </w:tblPr>
      <w:tblGrid>
        <w:gridCol w:w="1347"/>
        <w:gridCol w:w="1183"/>
        <w:gridCol w:w="1190"/>
        <w:gridCol w:w="211"/>
        <w:gridCol w:w="826"/>
        <w:gridCol w:w="109"/>
        <w:gridCol w:w="109"/>
        <w:gridCol w:w="109"/>
        <w:gridCol w:w="109"/>
        <w:gridCol w:w="211"/>
        <w:gridCol w:w="826"/>
        <w:gridCol w:w="109"/>
        <w:gridCol w:w="109"/>
        <w:gridCol w:w="109"/>
        <w:gridCol w:w="109"/>
        <w:gridCol w:w="211"/>
        <w:gridCol w:w="826"/>
        <w:gridCol w:w="311"/>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June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573,572 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Central and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Elimination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Certain impairment and 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Restructuring-related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247,351 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128,446 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 Includes the elimination of inter-segment profit that relates to cross-Cimpress transactions, in which the merchant business is cross charged the actual cost of fulfillment and the fulfiller business receives a markup on the cost to fulfill the related orders. These inter-segment profits are eliminated at a consolidated level. Refer to the discussion above for additional details related to the method for which one Cimpress business chooses to buy and sell to another Cimpress business.</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(2) For the years ended June 30, 2026, 2025, and 2024, depreciation and amortization includes costs within our central and corporate costs of $22,663, $23,161, and $24,114, respectively.</w:t>
      </w:r>
    </w:p>
    <w:p>
      <w:pPr>
        <w:pStyle w:val="TextBody"/>
        <w:bidi w:val="0"/>
        <w:spacing w:lineRule="auto" w:line="288" w:before="80" w:after="12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purchases of property, plant, and equipment by reportable segment:</w:t>
      </w:r>
    </w:p>
    <w:tbl>
      <w:tblPr>
        <w:tblW w:w="8473" w:type="dxa"/>
        <w:jc w:val="left"/>
        <w:tblInd w:w="0" w:type="dxa"/>
        <w:tblLayout w:type="fixed"/>
        <w:tblCellMar>
          <w:top w:w="28" w:type="dxa"/>
          <w:left w:w="28" w:type="dxa"/>
          <w:bottom w:w="28" w:type="dxa"/>
          <w:right w:w="28" w:type="dxa"/>
        </w:tblCellMar>
      </w:tblPr>
      <w:tblGrid>
        <w:gridCol w:w="1489"/>
        <w:gridCol w:w="1307"/>
        <w:gridCol w:w="1314"/>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413"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capitalization of software and website development costs by reportable segment:</w:t>
      </w:r>
    </w:p>
    <w:tbl>
      <w:tblPr>
        <w:tblW w:w="9448" w:type="dxa"/>
        <w:jc w:val="left"/>
        <w:tblInd w:w="0" w:type="dxa"/>
        <w:tblLayout w:type="fixed"/>
        <w:tblCellMar>
          <w:top w:w="28" w:type="dxa"/>
          <w:left w:w="28" w:type="dxa"/>
          <w:bottom w:w="28" w:type="dxa"/>
          <w:right w:w="28" w:type="dxa"/>
        </w:tblCellMar>
      </w:tblPr>
      <w:tblGrid>
        <w:gridCol w:w="1878"/>
        <w:gridCol w:w="1654"/>
        <w:gridCol w:w="165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87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c>
          <w:tcPr>
            <w:tcW w:w="1413" w:type="dxa"/>
            <w:gridSpan w:val="6"/>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capitalization of software and website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hanging="270"/>
        <w:jc w:val="left"/>
        <w:rPr>
          <w:rFonts w:ascii="Arial;sans-serif" w:hAnsi="Arial;sans-serif"/>
          <w:b w:val="false"/>
          <w:color w:val="000000"/>
          <w:sz w:val="20"/>
        </w:rPr>
      </w:pPr>
      <w:r>
        <w:rPr>
          <w:rFonts w:ascii="Arial;sans-serif" w:hAnsi="Arial;sans-serif"/>
          <w:b w:val="false"/>
          <w:color w:val="000000"/>
          <w:sz w:val="20"/>
        </w:rPr>
        <w:t>Enterprise Wide Disclosures:</w:t>
      </w:r>
    </w:p>
    <w:p>
      <w:pPr>
        <w:pStyle w:val="TextBody"/>
        <w:bidi w:val="0"/>
        <w:spacing w:lineRule="auto" w:line="288" w:before="220" w:after="283"/>
        <w:jc w:val="left"/>
        <w:rPr>
          <w:color w:val="000000"/>
        </w:rPr>
      </w:pPr>
      <w:r>
        <w:rPr>
          <w:color w:val="000000"/>
        </w:rPr>
        <w:t>    </w:t>
      </w:r>
      <w:r>
        <w:rPr>
          <w:rFonts w:ascii="Arial;sans-serif" w:hAnsi="Arial;sans-serif"/>
          <w:b w:val="false"/>
          <w:color w:val="000000"/>
          <w:sz w:val="20"/>
        </w:rPr>
        <w:t>The following table sets forth revenues by significant geographic area:</w:t>
      </w:r>
    </w:p>
    <w:tbl>
      <w:tblPr>
        <w:tblW w:w="5831" w:type="dxa"/>
        <w:jc w:val="left"/>
        <w:tblInd w:w="0" w:type="dxa"/>
        <w:tblLayout w:type="fixed"/>
        <w:tblCellMar>
          <w:top w:w="28" w:type="dxa"/>
          <w:left w:w="28" w:type="dxa"/>
          <w:bottom w:w="28" w:type="dxa"/>
          <w:right w:w="28" w:type="dxa"/>
        </w:tblCellMar>
      </w:tblPr>
      <w:tblGrid>
        <w:gridCol w:w="450"/>
        <w:gridCol w:w="395"/>
        <w:gridCol w:w="399"/>
        <w:gridCol w:w="211"/>
        <w:gridCol w:w="976"/>
        <w:gridCol w:w="109"/>
        <w:gridCol w:w="109"/>
        <w:gridCol w:w="109"/>
        <w:gridCol w:w="109"/>
        <w:gridCol w:w="211"/>
        <w:gridCol w:w="976"/>
        <w:gridCol w:w="109"/>
        <w:gridCol w:w="109"/>
        <w:gridCol w:w="109"/>
        <w:gridCol w:w="109"/>
        <w:gridCol w:w="211"/>
        <w:gridCol w:w="97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6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Our other revenue includes Ireland, our country of domicile. </w:t>
      </w:r>
    </w:p>
    <w:p>
      <w:pPr>
        <w:pStyle w:val="TextBody"/>
        <w:bidi w:val="0"/>
        <w:spacing w:lineRule="auto" w:line="288" w:before="220" w:after="283"/>
        <w:ind w:left="0" w:right="0" w:hanging="270"/>
        <w:jc w:val="left"/>
        <w:rPr>
          <w:rFonts w:ascii="Arial;sans-serif" w:hAnsi="Arial;sans-serif"/>
          <w:b w:val="false"/>
          <w:color w:val="000000"/>
          <w:sz w:val="20"/>
        </w:rPr>
      </w:pPr>
      <w:r>
        <w:rPr>
          <w:rFonts w:ascii="Arial;sans-serif" w:hAnsi="Arial;sans-serif"/>
          <w:b w:val="false"/>
          <w:color w:val="000000"/>
          <w:sz w:val="20"/>
        </w:rPr>
        <w:t>The following table sets forth revenues by groups of similar products and services:</w:t>
      </w:r>
    </w:p>
    <w:tbl>
      <w:tblPr>
        <w:tblW w:w="7857" w:type="dxa"/>
        <w:jc w:val="center"/>
        <w:tblInd w:w="0" w:type="dxa"/>
        <w:tblLayout w:type="fixed"/>
        <w:tblCellMar>
          <w:top w:w="28" w:type="dxa"/>
          <w:left w:w="28" w:type="dxa"/>
          <w:bottom w:w="28" w:type="dxa"/>
          <w:right w:w="28" w:type="dxa"/>
        </w:tblCellMar>
      </w:tblPr>
      <w:tblGrid>
        <w:gridCol w:w="1184"/>
        <w:gridCol w:w="1041"/>
        <w:gridCol w:w="1045"/>
        <w:gridCol w:w="211"/>
        <w:gridCol w:w="976"/>
        <w:gridCol w:w="109"/>
        <w:gridCol w:w="109"/>
        <w:gridCol w:w="109"/>
        <w:gridCol w:w="109"/>
        <w:gridCol w:w="211"/>
        <w:gridCol w:w="976"/>
        <w:gridCol w:w="109"/>
        <w:gridCol w:w="109"/>
        <w:gridCol w:w="109"/>
        <w:gridCol w:w="109"/>
        <w:gridCol w:w="211"/>
        <w:gridCol w:w="97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June 30, </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Physical printed products and other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3,207,102 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products and design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6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Other revenue includes miscellaneous items, which account for approximately 1% of revenue.</w:t>
      </w:r>
    </w:p>
    <w:p>
      <w:pPr>
        <w:pStyle w:val="TextBody"/>
        <w:bidi w:val="0"/>
        <w:spacing w:lineRule="auto" w:line="28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long-lived assets by geographic area:</w:t>
      </w:r>
    </w:p>
    <w:tbl>
      <w:tblPr>
        <w:tblW w:w="4539" w:type="dxa"/>
        <w:jc w:val="left"/>
        <w:tblInd w:w="0" w:type="dxa"/>
        <w:tblLayout w:type="fixed"/>
        <w:tblCellMar>
          <w:top w:w="28" w:type="dxa"/>
          <w:left w:w="28" w:type="dxa"/>
          <w:bottom w:w="28" w:type="dxa"/>
          <w:right w:w="28" w:type="dxa"/>
        </w:tblCellMar>
      </w:tblPr>
      <w:tblGrid>
        <w:gridCol w:w="679"/>
        <w:gridCol w:w="596"/>
        <w:gridCol w:w="600"/>
        <w:gridCol w:w="211"/>
        <w:gridCol w:w="826"/>
        <w:gridCol w:w="109"/>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assets (1):</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Tunisia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Excludes goodwill of $850,778 and $826,156, intangible assets, net of $70,580 and $58,348, and deferred tax assets of $50,930 and $61,086 as of June 30, 2026 and June 30, 2025, respectively. </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The increase is related to investments in new manufacturing capabilities to support our North American market.</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(3) The increase is related to a recent tuck-in acquisition, which is detailed in Note 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16. Leases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lease certain machinery and plant equipment, office space, and production and warehouse facilities under non-cancelable operating leases that expire on various dates through 2046. Our finance leases primarily relate to machinery and plant equipment. Over the past year, we invested in our manufacturing and supply chain footprint both organically and through acquisitions, which resulted in an increase in our leased real estate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classification of right-of-use assets and lease liabilities as of June 30, 2026 and 2025.</w:t>
      </w:r>
    </w:p>
    <w:tbl>
      <w:tblPr>
        <w:tblW w:w="9257" w:type="dxa"/>
        <w:jc w:val="left"/>
        <w:tblInd w:w="0" w:type="dxa"/>
        <w:tblLayout w:type="fixed"/>
        <w:tblCellMar>
          <w:top w:w="28" w:type="dxa"/>
          <w:left w:w="28" w:type="dxa"/>
          <w:bottom w:w="28" w:type="dxa"/>
          <w:right w:w="28" w:type="dxa"/>
        </w:tblCellMar>
      </w:tblPr>
      <w:tblGrid>
        <w:gridCol w:w="892"/>
        <w:gridCol w:w="786"/>
        <w:gridCol w:w="796"/>
        <w:gridCol w:w="109"/>
        <w:gridCol w:w="109"/>
        <w:gridCol w:w="109"/>
        <w:gridCol w:w="1154"/>
        <w:gridCol w:w="1154"/>
        <w:gridCol w:w="1157"/>
        <w:gridCol w:w="109"/>
        <w:gridCol w:w="109"/>
        <w:gridCol w:w="109"/>
        <w:gridCol w:w="211"/>
        <w:gridCol w:w="826"/>
        <w:gridCol w:w="109"/>
        <w:gridCol w:w="109"/>
        <w:gridCol w:w="109"/>
        <w:gridCol w:w="109"/>
        <w:gridCol w:w="211"/>
        <w:gridCol w:w="82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represents the lease expenses for the years ended June 30, 2026, 2025, and 2024:</w:t>
      </w:r>
    </w:p>
    <w:tbl>
      <w:tblPr>
        <w:tblW w:w="7107" w:type="dxa"/>
        <w:jc w:val="left"/>
        <w:tblInd w:w="0" w:type="dxa"/>
        <w:tblLayout w:type="fixed"/>
        <w:tblCellMar>
          <w:top w:w="28" w:type="dxa"/>
          <w:left w:w="28" w:type="dxa"/>
          <w:bottom w:w="28" w:type="dxa"/>
          <w:right w:w="28" w:type="dxa"/>
        </w:tblCellMar>
      </w:tblPr>
      <w:tblGrid>
        <w:gridCol w:w="1189"/>
        <w:gridCol w:w="1044"/>
        <w:gridCol w:w="1052"/>
        <w:gridCol w:w="211"/>
        <w:gridCol w:w="721"/>
        <w:gridCol w:w="109"/>
        <w:gridCol w:w="109"/>
        <w:gridCol w:w="109"/>
        <w:gridCol w:w="109"/>
        <w:gridCol w:w="211"/>
        <w:gridCol w:w="721"/>
        <w:gridCol w:w="109"/>
        <w:gridCol w:w="109"/>
        <w:gridCol w:w="109"/>
        <w:gridCol w:w="109"/>
        <w:gridCol w:w="211"/>
        <w:gridCol w:w="721"/>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Year Ended 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Amortization of finance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sublease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and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ind w:left="0" w:right="0" w:firstLine="720"/>
        <w:jc w:val="left"/>
        <w:rPr>
          <w:rFonts w:ascii="Arial;sans-serif" w:hAnsi="Arial;sans-serif"/>
          <w:b w:val="false"/>
          <w:color w:val="000000"/>
          <w:sz w:val="20"/>
        </w:rPr>
      </w:pPr>
      <w:r>
        <w:rPr>
          <w:rFonts w:ascii="Arial;sans-serif" w:hAnsi="Arial;sans-serif"/>
          <w:b w:val="false"/>
          <w:color w:val="000000"/>
          <w:sz w:val="20"/>
        </w:rPr>
        <w:t>Future minimum lease payments under non-cancelable leases as of June 30, 2026 were as follows:</w:t>
      </w:r>
    </w:p>
    <w:tbl>
      <w:tblPr>
        <w:tblW w:w="8316" w:type="dxa"/>
        <w:jc w:val="left"/>
        <w:tblInd w:w="0" w:type="dxa"/>
        <w:tblLayout w:type="fixed"/>
        <w:tblCellMar>
          <w:top w:w="28" w:type="dxa"/>
          <w:left w:w="28" w:type="dxa"/>
          <w:bottom w:w="28" w:type="dxa"/>
          <w:right w:w="28" w:type="dxa"/>
        </w:tblCellMar>
      </w:tblPr>
      <w:tblGrid>
        <w:gridCol w:w="884"/>
        <w:gridCol w:w="778"/>
        <w:gridCol w:w="782"/>
        <w:gridCol w:w="345"/>
        <w:gridCol w:w="1352"/>
        <w:gridCol w:w="178"/>
        <w:gridCol w:w="109"/>
        <w:gridCol w:w="109"/>
        <w:gridCol w:w="109"/>
        <w:gridCol w:w="352"/>
        <w:gridCol w:w="1205"/>
        <w:gridCol w:w="182"/>
        <w:gridCol w:w="109"/>
        <w:gridCol w:w="109"/>
        <w:gridCol w:w="109"/>
        <w:gridCol w:w="284"/>
        <w:gridCol w:w="1113"/>
        <w:gridCol w:w="207"/>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Payments Due by Period</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Finance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lease obligations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1 year</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46,310 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 years</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years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31,395 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 years</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 years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160,824 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59,241 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220,065 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present value discount</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127,302 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49,210 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176,512 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leases have remaining lease terms of 1 to 20 years, inclusive of renewal or termination options that we are reasonably certain to exercise.</w:t>
      </w:r>
    </w:p>
    <w:tbl>
      <w:tblPr>
        <w:tblW w:w="9729" w:type="dxa"/>
        <w:jc w:val="left"/>
        <w:tblInd w:w="0" w:type="dxa"/>
        <w:tblLayout w:type="fixed"/>
        <w:tblCellMar>
          <w:top w:w="28" w:type="dxa"/>
          <w:left w:w="28" w:type="dxa"/>
          <w:bottom w:w="28" w:type="dxa"/>
          <w:right w:w="28" w:type="dxa"/>
        </w:tblCellMar>
      </w:tblPr>
      <w:tblGrid>
        <w:gridCol w:w="2020"/>
        <w:gridCol w:w="1775"/>
        <w:gridCol w:w="178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Year Ended June 30,</w:t>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r>
        <w:rPr>
          <w:rFonts w:ascii="Arial;sans-serif" w:hAnsi="Arial;sans-serif"/>
          <w:b w:val="false"/>
          <w:color w:val="000000"/>
          <w:sz w:val="20"/>
        </w:rPr>
        <w:t>Other information about leases is as follows:</w:t>
      </w:r>
    </w:p>
    <w:tbl>
      <w:tblPr>
        <w:tblW w:w="6903" w:type="dxa"/>
        <w:jc w:val="left"/>
        <w:tblInd w:w="0" w:type="dxa"/>
        <w:tblLayout w:type="fixed"/>
        <w:tblCellMar>
          <w:top w:w="28" w:type="dxa"/>
          <w:left w:w="28" w:type="dxa"/>
          <w:bottom w:w="28" w:type="dxa"/>
          <w:right w:w="28" w:type="dxa"/>
        </w:tblCellMar>
      </w:tblPr>
      <w:tblGrid>
        <w:gridCol w:w="1470"/>
        <w:gridCol w:w="1295"/>
        <w:gridCol w:w="1300"/>
        <w:gridCol w:w="109"/>
        <w:gridCol w:w="109"/>
        <w:gridCol w:w="109"/>
        <w:gridCol w:w="255"/>
        <w:gridCol w:w="256"/>
        <w:gridCol w:w="549"/>
        <w:gridCol w:w="109"/>
        <w:gridCol w:w="109"/>
        <w:gridCol w:w="109"/>
        <w:gridCol w:w="255"/>
        <w:gridCol w:w="256"/>
        <w:gridCol w:w="613"/>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Arial;sans-serif" w:hAnsi="Arial;sans-serif"/>
          <w:b/>
          <w:color w:val="000000"/>
          <w:sz w:val="20"/>
        </w:rPr>
      </w:pPr>
      <w:r>
        <w:rPr>
          <w:rFonts w:ascii="Arial;sans-serif" w:hAnsi="Arial;sans-serif"/>
          <w:b/>
          <w:color w:val="000000"/>
          <w:sz w:val="20"/>
        </w:rPr>
        <w:t>17. Commitments and Contingencies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100" w:after="283"/>
        <w:jc w:val="left"/>
        <w:rPr>
          <w:color w:val="000000"/>
        </w:rPr>
      </w:pPr>
      <w:r>
        <w:rPr>
          <w:color w:val="000000"/>
        </w:rPr>
        <w:t>    </w:t>
      </w:r>
      <w:r>
        <w:rPr>
          <w:rFonts w:ascii="Arial;sans-serif" w:hAnsi="Arial;sans-serif"/>
          <w:b w:val="false"/>
          <w:color w:val="000000"/>
          <w:sz w:val="20"/>
        </w:rPr>
        <w:t>The required principal payments due during the next five fiscal years and thereafter under our outstanding long-term debt obligations at June 30, 2026 are as follows:</w:t>
      </w:r>
    </w:p>
    <w:tbl>
      <w:tblPr>
        <w:tblW w:w="2302" w:type="dxa"/>
        <w:jc w:val="left"/>
        <w:tblInd w:w="0" w:type="dxa"/>
        <w:tblLayout w:type="fixed"/>
        <w:tblCellMar>
          <w:top w:w="28" w:type="dxa"/>
          <w:left w:w="28" w:type="dxa"/>
          <w:bottom w:w="28" w:type="dxa"/>
          <w:right w:w="28" w:type="dxa"/>
        </w:tblCellMar>
      </w:tblPr>
      <w:tblGrid>
        <w:gridCol w:w="348"/>
        <w:gridCol w:w="305"/>
        <w:gridCol w:w="308"/>
        <w:gridCol w:w="211"/>
        <w:gridCol w:w="976"/>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Supply Chain Finance Programs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June 30, 2026 and 2025 were $65,266 and $64,854,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a rollforward of total outstanding obligations due to suppliers that participate in the supply chain finance program:</w:t>
      </w:r>
    </w:p>
    <w:p>
      <w:pPr>
        <w:pStyle w:val="TextBody"/>
        <w:bidi w:val="0"/>
        <w:spacing w:before="0" w:after="0"/>
        <w:ind w:left="0" w:right="0" w:firstLine="720"/>
        <w:jc w:val="left"/>
        <w:rPr/>
      </w:pPr>
      <w:r>
        <w:rPr/>
      </w:r>
    </w:p>
    <w:tbl>
      <w:tblPr>
        <w:tblW w:w="4460" w:type="dxa"/>
        <w:jc w:val="left"/>
        <w:tblInd w:w="0" w:type="dxa"/>
        <w:tblLayout w:type="fixed"/>
        <w:tblCellMar>
          <w:top w:w="28" w:type="dxa"/>
          <w:left w:w="28" w:type="dxa"/>
          <w:bottom w:w="28" w:type="dxa"/>
          <w:right w:w="28" w:type="dxa"/>
        </w:tblCellMar>
      </w:tblPr>
      <w:tblGrid>
        <w:gridCol w:w="1221"/>
        <w:gridCol w:w="1074"/>
        <w:gridCol w:w="107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Invoices confirmed during the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Confirmed invoices paid during the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At June 30, 2026, we had unrecorded commitments under contract of $338,206, including third-party cloud services of $211,717; inventory, third-party fulfillment and digital service purchase commitments of $76,939; software of $36,684; professional and consulting fees of $8,936; production and computer equipment purchases of $1,526; advertising of $731; insurance costs of $360; and other unrecorded purchase commitments of $1,313.</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Lease Arrangements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lease certain assets, including manufacturing facilities, machinery and plant equipment, and office space under lease agreements. Refer to Note 16 for additional details. </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220" w:after="120"/>
        <w:ind w:left="0" w:right="0" w:firstLine="720"/>
        <w:jc w:val="left"/>
        <w:rPr>
          <w:rFonts w:ascii="Arial;sans-serif" w:hAnsi="Arial;sans-serif"/>
          <w:b w:val="false"/>
          <w:color w:val="000000"/>
          <w:sz w:val="20"/>
        </w:rPr>
      </w:pPr>
      <w:r>
        <w:rPr>
          <w:rFonts w:ascii="Arial;sans-serif" w:hAnsi="Arial;sans-serif"/>
          <w:b w:val="false"/>
          <w:color w:val="000000"/>
          <w:sz w:val="20"/>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18. Restructuring Charges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During the years ended June 30, 2026, 2025, and 2024, we recognized restructuring charges of $6,261, $5,528, and $423,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For the year ended June 30, 2026, restructuring charges included actions within our VistaPrint and National Pen reportable segments of $4,053 and $1,953, respectively, and for the year ended June 30, 2025, restructuring charges included $5,103 within our VistaPrint reportable segment. All other restructuring charges for each period presented were not material. We expect to recognize additional charges associated with these actions during the next fiscal year as we continue to pursue cost efficiency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restructuring activity during the years ended June 30, 2026 and 2025.</w:t>
      </w:r>
    </w:p>
    <w:tbl>
      <w:tblPr>
        <w:tblW w:w="9185" w:type="dxa"/>
        <w:jc w:val="left"/>
        <w:tblInd w:w="0" w:type="dxa"/>
        <w:tblLayout w:type="fixed"/>
        <w:tblCellMar>
          <w:top w:w="28" w:type="dxa"/>
          <w:left w:w="28" w:type="dxa"/>
          <w:bottom w:w="28" w:type="dxa"/>
          <w:right w:w="28" w:type="dxa"/>
        </w:tblCellMar>
      </w:tblPr>
      <w:tblGrid>
        <w:gridCol w:w="884"/>
        <w:gridCol w:w="777"/>
        <w:gridCol w:w="783"/>
        <w:gridCol w:w="483"/>
        <w:gridCol w:w="1412"/>
        <w:gridCol w:w="249"/>
        <w:gridCol w:w="109"/>
        <w:gridCol w:w="109"/>
        <w:gridCol w:w="109"/>
        <w:gridCol w:w="517"/>
        <w:gridCol w:w="997"/>
        <w:gridCol w:w="270"/>
        <w:gridCol w:w="109"/>
        <w:gridCol w:w="109"/>
        <w:gridCol w:w="109"/>
        <w:gridCol w:w="463"/>
        <w:gridCol w:w="1356"/>
        <w:gridCol w:w="340"/>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Severance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Accrued Restructuring Liability</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2024</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charges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(7,998)</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charges</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19. Related Party Transaction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Fiscal Year 2025</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November 8, 2024, we repurchased 316,056 of our outstanding ordinary shares, par value €0.01 per share, from entities affiliated with Prescott General Partners LLC (“Prescott”) in a privately negotiated transaction at a price of $79.10 per share, representing a discount of $1.78 to the closing price of our ordinary shares on November 6, 2024 (the “FY25 Transaction”).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0"/>
        </w:rPr>
        <w:t>Scott</w:t>
      </w:r>
      <w:r>
        <w:rPr>
          <w:color w:val="000000"/>
        </w:rPr>
        <w:t xml:space="preserve"> </w:t>
      </w:r>
      <w:r>
        <w:rPr>
          <w:rFonts w:ascii="Arial;sans-serif" w:hAnsi="Arial;sans-serif"/>
          <w:b w:val="false"/>
          <w:color w:val="000000"/>
          <w:sz w:val="20"/>
        </w:rPr>
        <w:t>Vassalluzzo, a Managing Member of Prescott, serves as a member of Cimpress’ Board of Directors and Audit Committee. In light of the foregoing, the disinterested members of Cimpress’ Audit Committee reviewed the FY25 Transaction under our related person transaction policy and considered, among other things, Mr. Vassalluzzo’s and Prescott’s interest in the FY25 Transaction, the approximate dollar value of the FY25 Transaction, and the purpose and the potential benefits to Cimpress of entering into the FY25 Transaction. Based on these considerations, the disinterested members of the Audit Committee concluded that the FY25 Transaction was in our best interest. The FY25 Transaction was effected pursuant to the share repurchase program approved by Cimpress’ Board of Directors and announced on May 29, 2024.</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Fiscal Year 2024</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fiscal year 2024, we repurchased 300,000 of our outstanding ordinary shares, par value €0.01 per share, from The Spruce House Partnership LLC (“Spruce House”) in a privately negotiated transaction at a price of $97.50 per share, representing a discount of $2.14 to the closing price of our ordinary shares on March 1, 2024 (the "FY24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Zachary Sternberg, a Managing Member of Spruce House, previously served as a member of Cimpress’ Board of Directors and Audit Committee at the time of the FY24 Transaction. In light of the foregoing, the disinterested members of Cimpress’ Audit Committee reviewed the FY24 Transaction under our related person transaction policy and considered, among other things, Mr. Sternberg’s and Spruce House’s interest in the FY24 Transaction, the approximate dollar value of the FY24 Transaction, and the purpose and the potential benefits to Cimpress of entering into the FY24 Transaction. Based on these considerations, the disinterested members of the Audit Committee concluded that the FY24 Transaction was in our best interest. The FY24 Transaction was effected pursuant to the share repurchase program approved by Cimpress’ Board of Directors in effect at the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20.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July 2, 2026, we acquired the Saxoprint and viaprinto businesses of CEWE Stiftung &amp; Co. KGaA for €120,000, subject to a post-closing adjustment based on acquired cash, debt, and working capital as of the closing date. We used our available cash balance and our senior secured revolving credit facility to fund the transaction. We expect to enter into a sale-leaseback transaction for significant real estate assets owned by Saxoprint, which would substantially reduce the net cash outflow in fiscal year 2027, if completed.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Saxoprint serves business customers and is known for its high-quality low-cost production capabilities for flyers, booklets, brochures, catalogs and magazines. viaprinto is a reseller known for serving business customers through an intuitive user experience and value-added services. These businesses operate in Europe, and will be managed within our PrintBrothers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Arial;sans-serif" w:hAnsi="Arial;sans-serif"/>
          <w:b/>
          <w:color w:val="000000"/>
          <w:sz w:val="20"/>
        </w:rPr>
        <w:t xml:space="preserve">Item 9. </w:t>
      </w:r>
      <w:r>
        <w:rPr>
          <w:rFonts w:ascii="Arial;sans-serif" w:hAnsi="Arial;sans-serif"/>
          <w:b/>
          <w:i/>
          <w:color w:val="000000"/>
          <w:sz w:val="20"/>
        </w:rPr>
        <w:t>Changes in and Disagreements with Accountants on Accounting and Financial Disclosure</w:t>
      </w:r>
    </w:p>
    <w:p>
      <w:pPr>
        <w:pStyle w:val="TextBody"/>
        <w:bidi w:val="0"/>
        <w:spacing w:lineRule="auto" w:line="288" w:before="100" w:after="100"/>
        <w:jc w:val="left"/>
        <w:rPr>
          <w:color w:val="000000"/>
        </w:rPr>
      </w:pPr>
      <w:r>
        <w:rPr>
          <w:color w:val="000000"/>
        </w:rPr>
        <w:t>    </w:t>
      </w: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9A. </w:t>
      </w:r>
      <w:r>
        <w:rPr>
          <w:rFonts w:ascii="Arial;sans-serif" w:hAnsi="Arial;sans-serif"/>
          <w:b/>
          <w:i/>
          <w:color w:val="000000"/>
          <w:sz w:val="20"/>
        </w:rPr>
        <w:t>Controls and Procedures</w:t>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00" w:after="200"/>
        <w:ind w:left="0" w:right="0" w:firstLine="72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00" w:after="40"/>
        <w:ind w:left="0" w:right="0" w:firstLine="720"/>
        <w:jc w:val="left"/>
        <w:rPr>
          <w:rFonts w:ascii="Arial;sans-serif" w:hAnsi="Arial;sans-serif"/>
          <w:b w:val="false"/>
          <w:color w:val="000000"/>
          <w:sz w:val="20"/>
        </w:rPr>
      </w:pPr>
      <w:r>
        <w:rPr>
          <w:rFonts w:ascii="Arial;sans-serif" w:hAnsi="Arial;sans-serif"/>
          <w:b w:val="false"/>
          <w:color w:val="000000"/>
          <w:sz w:val="20"/>
        </w:rPr>
        <w:t>There were no significant changes in our internal control over financial reporting (as defined in Rules 13a-15(f) and 15d-15(f) under the Exchange Act) during the three months ended June 30, 2026 that materially affected, or are reasonably likely to materially affect, our internal control over financial reporting.</w:t>
      </w:r>
    </w:p>
    <w:p>
      <w:pPr>
        <w:pStyle w:val="TextBody"/>
        <w:bidi w:val="0"/>
        <w:spacing w:lineRule="auto" w:line="288" w:before="100" w:after="40"/>
        <w:jc w:val="left"/>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assessed the effectiveness of our internal control over financial reporting as of June 30, 2026. In making this assessment, our management used the criteria set forth in the Internal Control — Integrated Framework (2013) issued by the Committee of Sponsoring Organizations of the Treadway Commission (COSO). Based on our assessment, management concluded that, as of June 30, 2026, our internal control over financial reporting is effective based on criteria in Internal Control - Integrated Framework (2013) issued by the COSO.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PricewaterhouseCoopers LLP, our independent registered public accounting firm, has audited the effectiveness of our internal control over financial reporting as of June 30, 2026, as stated in their report included on page </w:t>
      </w:r>
      <w:hyperlink w:anchor="i9801767a91f3429aa8e8241db715e8e0_178">
        <w:r>
          <w:rPr>
            <w:rStyle w:val="InternetLink"/>
            <w:rFonts w:ascii="Arial;sans-serif" w:hAnsi="Arial;sans-serif"/>
            <w:b w:val="false"/>
            <w:color w:val="0000FF"/>
            <w:sz w:val="20"/>
            <w:u w:val="single"/>
          </w:rPr>
          <w:t>46</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9B. </w:t>
      </w:r>
      <w:r>
        <w:rPr>
          <w:rFonts w:ascii="Arial;sans-serif" w:hAnsi="Arial;sans-serif"/>
          <w:b/>
          <w:i/>
          <w:color w:val="000000"/>
          <w:sz w:val="20"/>
        </w:rPr>
        <w:t>Other Information</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May 8, 2026, Maarten Wensveen, our Executive Vice President &amp; Chief Technology and MCP Operations Officer, adopted a plan for the sale of Cimpress ordinary shares that is intended to satisfy the affirmative defense conditions of Exchange Act Rule 10b5-1(c) and that expires on August 31, 2027. The plan provides for sales, on dates and at prices set forth in the plan, of up to 69,687 ordinary shares held by Mr. Wensveen as of the date of the plan adoption. </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On May 26, 2026, Sean Quinn, our Executive Vice President and Chief Financial Officer, terminated a Rule 10b5-1(c) trading arrangement previously adopted on February 25, 2026. The terminated arrangement was originally scheduled to expire on July 30, 2027, and authorized the potential sale of up to 121,057 ordinary shares held by Mr. Quinn as of the date of the plan adoption plus additional ordinary shares that became, or could have become, eligible for sale under the arrangement during its originally scheduled term upon the vesting and settlement of equity awards.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On June 5, 2026, Robert Keane, our Chief Executive Officer, adopted a plan for the sale of Cimpress ordinary shares that is intended to satisfy the affirmative defense conditions of Exchange Act Rule 10b5-1(c) and that expires on February 26, 2027. The plan provides for sales, on dates and at prices set forth in the plan, of up to 126,900 ordinary shares held by Mr. Keane as of the date of the plan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9C. </w:t>
      </w:r>
      <w:r>
        <w:rPr>
          <w:rFonts w:ascii="Arial;sans-serif" w:hAnsi="Arial;sans-serif"/>
          <w:b/>
          <w:i/>
          <w:color w:val="000000"/>
          <w:sz w:val="20"/>
        </w:rPr>
        <w:t>Disclosure Regarding Foreign Jurisdictions that Prevent Inspections</w:t>
      </w:r>
    </w:p>
    <w:p>
      <w:pPr>
        <w:pStyle w:val="TextBody"/>
        <w:bidi w:val="0"/>
        <w:spacing w:lineRule="auto" w:line="288" w:before="200" w:after="180"/>
        <w:ind w:left="0" w:right="0" w:firstLine="7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10. </w:t>
      </w:r>
      <w:r>
        <w:rPr>
          <w:rFonts w:ascii="Arial;sans-serif" w:hAnsi="Arial;sans-serif"/>
          <w:b/>
          <w:i/>
          <w:color w:val="000000"/>
          <w:sz w:val="20"/>
        </w:rPr>
        <w:t>Directors, Executive Officers and Corporate Governance</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information in the sections captioned “Information about our Directors and Executive Officers,” “Corporate Governance,” "Insider Trading Policy," and “Delinquent Section 16(a) Reports” contained in our definitive proxy statement for our 2026 Annual General Meeting of Shareholders, which we refer to as our 2026 Proxy Statement.</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2026.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11. </w:t>
      </w:r>
      <w:r>
        <w:rPr>
          <w:rFonts w:ascii="Arial;sans-serif" w:hAnsi="Arial;sans-serif"/>
          <w:b/>
          <w:i/>
          <w:color w:val="000000"/>
          <w:sz w:val="20"/>
        </w:rPr>
        <w:t>Executive Compensation</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information contained in the sections of our 2026 Proxy Statement captioned “Compensation Discussion and Analysis," "Summary Compensation Tables," “Compensation of our Board of Directors," and “Compensation Committee Interlocks and Insider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12. </w:t>
      </w:r>
      <w:r>
        <w:rPr>
          <w:rFonts w:ascii="Arial;sans-serif" w:hAnsi="Arial;sans-serif"/>
          <w:b/>
          <w:i/>
          <w:color w:val="000000"/>
          <w:sz w:val="20"/>
        </w:rPr>
        <w:t xml:space="preserve">Security Ownership of Certain Beneficial Owners and Management and Related Stockholder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information contained in the sections of our 2026 Proxy Statement captioned “Security Ownership of Certain Beneficial Owners and Management” and “Securities Authorized for Issuance Under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13. </w:t>
      </w:r>
      <w:r>
        <w:rPr>
          <w:rFonts w:ascii="Arial;sans-serif" w:hAnsi="Arial;sans-serif"/>
          <w:b/>
          <w:i/>
          <w:color w:val="000000"/>
          <w:sz w:val="20"/>
        </w:rPr>
        <w:t>Certain Relationships and Related Transactions, and Director Independence</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information contained in the sections of our 2026 Proxy Statement captioned “Certain Relationships and Related Transactions”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pPr>
      <w:r>
        <w:rPr>
          <w:rFonts w:ascii="Arial;sans-serif" w:hAnsi="Arial;sans-serif"/>
          <w:b/>
          <w:color w:val="000000"/>
          <w:sz w:val="20"/>
        </w:rPr>
        <w:t xml:space="preserve">Item 14. </w:t>
      </w:r>
      <w:r>
        <w:rPr>
          <w:rFonts w:ascii="Arial;sans-serif" w:hAnsi="Arial;sans-serif"/>
          <w:b/>
          <w:i/>
          <w:color w:val="000000"/>
          <w:sz w:val="20"/>
        </w:rPr>
        <w:t>Principal Accountant Fees and Services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information contained in the section of our 2026 Proxy Statement captioned “Independent Registered Public Accounting Firm Fees and 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Item 15. </w:t>
      </w:r>
      <w:r>
        <w:rPr>
          <w:rFonts w:ascii="Arial;sans-serif" w:hAnsi="Arial;sans-serif"/>
          <w:b/>
          <w:i/>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275"/>
        <w:gridCol w:w="241"/>
        <w:gridCol w:w="242"/>
        <w:gridCol w:w="109"/>
        <w:gridCol w:w="109"/>
        <w:gridCol w:w="109"/>
        <w:gridCol w:w="2979"/>
        <w:gridCol w:w="2538"/>
        <w:gridCol w:w="3603"/>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"https://www.sec.gov/Archives/edgar/data/1262976/000119312519257660/d756088ddefm14a.htm" \l "toc756088_52"</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Constitution of Cimpress plc is incorporated by reference to Annex B to our definitive proxy statement on Schedule 14A filed with the SEC on September 27, 2019</w:t>
            </w:r>
            <w:r>
              <w:rPr>
                <w:rStyle w:val="InternetLink"/>
                <w:sz w:val="18"/>
                <w:u w:val="single"/>
                <w:b w:val="false"/>
                <w:rFonts w:ascii="Arial;sans-serif" w:hAnsi="Arial;sans-serif"/>
                <w:color w:val="0000FF"/>
              </w:rPr>
              <w:fldChar w:fldCharType="end"/>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Senior Notes Indenture (including form of 7.375% senior notes due 2032), dated as of September 26, 2024, between Cimpress plc, certain subsidiaries of Cimpress plc as guarantors thereto, and U.S. Bank Trust Company, National Association, as Trustee, is incorporated by reference to our Current Report on Form 8-K filed with the SEC on September 30, 2024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Form of Warrant is incorporated by reference to our Current Report on Form 8-K filed with the SEC on May 4,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3descriptionofregistere.htm">
              <w:r>
                <w:rPr>
                  <w:rStyle w:val="InternetLink"/>
                  <w:rFonts w:ascii="Arial;sans-serif" w:hAnsi="Arial;sans-serif"/>
                  <w:b w:val="false"/>
                  <w:color w:val="0000FF"/>
                  <w:sz w:val="18"/>
                  <w:u w:val="single"/>
                </w:rPr>
                <w:t>Description of registered securities of Cimpress plc</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2016 Performance Equity Plan is incorporated by reference to our Current Report on Form 8-K filed with the SEC on December 3, 2019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Form of Performance Share Unit Agreement for employees and executives under our 2016 Performance Equity Plan is incorporated by reference to our Quarterly Report on Form 10-Q for the fiscal quarter ended December 31, 2019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Form of Performance Share Unit Agreement for our Chief Executive Officer under our 2016 Performance Equity Plan is incorporated by reference to our Quarterly Report on Form 10-Q for the fiscal quarter ended December 31, 2019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Form of Performance Share Unit Agreement for members of our Board of Directors under our 2016 Performance Equity Plan is incorporated by reference to our Quarterly Report on Form 10-Q for the fiscal quarter ended December 31, 2019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2020 Equity Incentive Plan, as amended, is incorporated by reference to our Current Report on Form 8-K filed with the SEC on November 25, 2024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8"/>
                  <w:u w:val="single"/>
                </w:rPr>
                <w:t>Form of Restricted Share Unit Agreement under our 2020 Equity Incentive Plan is incorporated by reference to our Quarterly Report on Form 10-Q for the fiscal quarter ended December 31,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Form of Performance Share Unit Agreement for employees and executives under our 2020 Equity Incentive Plan is incorporated by reference to our Quarterly Report on Form 10-Q for the fiscal quarter ended December 31,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8"/>
                  <w:u w:val="single"/>
                </w:rPr>
                <w:t>Form of Performance Share Unit Agreement for our Chief Executive Officer under our 2020 Equity Incentive Plan is incorporated by reference to our Quarterly Report on Form 10-Q for the fiscal quarter ended December 31,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Form of Performance Share Unit Agreement for our Board of Directors under our 2020 Equity Incentive Plan is incorporated by reference to our Quarterly Report on Form 10-Q for the fiscal quarter ended December 31,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8"/>
                  <w:u w:val="single"/>
                </w:rPr>
                <w:t>Form of Performance-Based Restricted Share Unit Agreement based on fiscal year 2024 Cimpress financial performance under the 2020 Equity Incentive Plan is incorporated by reference to our Quarterly Report on Form 10-Q for the fiscal quarter ended September 30, 2023</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8"/>
                  <w:u w:val="single"/>
                </w:rPr>
                <w:t>Form of Performance-Based Restricted Share Unit Agreement based on fiscal year 2024 Vista financial performance under the 2020 Equity Incentive Plan is incorporated by reference to our Quarterly Report on Form 10-Q for the fiscal quarter ended September 30, 2023</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8"/>
                  <w:u w:val="single"/>
                </w:rPr>
                <w:t>Form of Performance-Based Restricted Share Unit Agreement based on annual fiscal year Cimpress financial performance under the 2020 Equity Incentive Plan is incorporated by reference to our Quarterly Report on Form 10-Q for the fiscal quarter ended September 30, 2025</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Form of Performance-Based Restricted Share Unit Agreement based on annual fiscal year Vista financial performance under the 2020 Equity Incentive Plan is incorporated by reference to our Quarterly Report on Form 10-Q for the fiscal quarter ended September 30, 2025</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8"/>
                  <w:u w:val="single"/>
                </w:rPr>
                <w:t>Form of Deed of Indemnification between Cimpress plc and each of its directors is incorporated by reference to our Current Report on Form 8-K filed with the SEC on January 29,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8"/>
                  <w:u w:val="single"/>
                </w:rPr>
                <w:t>Form of Deed of Indemnification between Cimpress plc and each executive officer is incorporated by reference to our Current Report on Form 8-K filed with the SEC on January 29,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Form of Indemnification Agreement between Cimpress USA Incorporated and each director of Cimpress plc is incorporated by reference to our Current Report on Form 8-K filed with the SEC on January 29,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8"/>
                  <w:u w:val="single"/>
                </w:rPr>
                <w:t>Form of Indemnification Agreement between Cimpress USA Incorporated and each executive officer is incorporated by reference to our Current Report on Form 8-K filed with the SEC on January 29, 2020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8"/>
                  <w:u w:val="single"/>
                </w:rPr>
                <w:t>Form of Invention and Non-Disclosure Agreement between Cimpress and each of Robert Keane, Sean Quinn, and Maarten Wensveen is incorporated by reference to our Registration Statement on Form S-1, as amended</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8"/>
                  <w:u w:val="single"/>
                </w:rPr>
                <w:t>Form of Non-Competition and Non-Solicitation Agreement between Cimpress and each of Robert Keane, Sean Quinn, and Maarten Wensveen is incorporated by reference to our Registration Statement on Form S-1, as amended</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18"/>
                  <w:u w:val="single"/>
                </w:rPr>
                <w:t>Employment Agreement dated May 5, 2024 between Cimpress Puerto Rico LLC and Cimpress USA Incorporated, as employers, and Robert Keane, as employee, is incorporated by reference to our Annual Report on Form 10-K for the fiscal year ended June 30, 2024</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8"/>
                  <w:u w:val="single"/>
                </w:rPr>
                <w:t>Memorandum clarifying relative precedence of agreements dated May 6, 2010 between Cimpress plc (as successor to Cimpress N.V.) and Robert Keane is incorporated by reference to our Annual Report on Form 10-K for the fiscal year ended June 30, 2010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5"/>
        <w:gridCol w:w="188"/>
        <w:gridCol w:w="190"/>
        <w:gridCol w:w="109"/>
        <w:gridCol w:w="109"/>
        <w:gridCol w:w="109"/>
        <w:gridCol w:w="3373"/>
        <w:gridCol w:w="2444"/>
        <w:gridCol w:w="3468"/>
      </w:tblGrid>
      <w:tr>
        <w:trPr/>
        <w:tc>
          <w:tcPr>
            <w:tcW w:w="2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8"/>
                  <w:u w:val="single"/>
                </w:rPr>
                <w:t>Second Amended and Restated Executive Retention Agreement dated as of February 20, 2023 between Cimpress plc and Robert Keane is incorporated by reference to our Current Report on Form 8-K filed with the SEC on February 23,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8"/>
                  <w:u w:val="single"/>
                </w:rPr>
                <w:t>Employment Agreement between Cimpress Deutschland GmbH and Florian Baumgartner dated July 10, 2019 is incorporated by reference to our Quarterly Report on Form 10-Q for the fiscal quarter ended March 31,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8"/>
                  <w:u w:val="single"/>
                </w:rPr>
                <w:t>Amendment to Employment Agreement between Cimpress Deutschland GmbH and Florian Baumgartner dated January 1, 2021 is incorporated by reference to our Quarterly Report on Form 10-Q for the fiscal quarter ended March 31,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Addendum Agreement, effective as of February 1, 2026, by and between Vistaprint Deutschland GmbH, as successor by merger to Cimpress Deutschland GmbH, and Florian Baumgartner, relating to the Employment Agreement, dated as of July 10, 2019, by and between Cimpress Deutschland GmbH and Florian Baumgartner, as amended by the Amendment to Employment Agreement, dated January 1, 2021, by and between Cimpress Deutschland GmbH and Florian Baumgartner is incorporated by reference to our Quarterly Report on Form 10-Q for the fiscal quarter ended March 31, 2026</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Executive Retention Agreement between Cimpress plc and Florian Baumgartner dated February 1, 2023 is incorporated by reference to our Current Report on Form 8-K filed with the SEC on February 23,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8"/>
                  <w:u w:val="single"/>
                </w:rPr>
                <w:t>Form of Amended and Restated Executive Retention Agreement between Cimpress plc and each of Sean Quinn and Maarten Wensveen is incorporated by reference to our Current Report on Form 8-K filed with the SEC on February 23,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8"/>
                  <w:u w:val="single"/>
                </w:rPr>
                <w:t>Amendment and Restatement Agreement, dated as of June 4, 2026, among Cimpress plc, Vistaprint Limited, Cimpress Schweiz GmbH, Vistaprint B.V., Vistaprint Netherlands B.V., and Cimpress USA Incorporated, as borrowers, the lenders named therein as lenders; JPMorgan Chase Bank, N.A. and J.P. Morgan SE, as administrative agents for the lenders, with respect to the senior secured Credit Agreement dated as of October 21, 2011, as amended and restated as of February 8, 2013, as further amended and restated as of July 13, 2017, as further amended and restated as of May 17, 2021, including the amended and restated Credit Agreement attached as Annex A thereto, is incorporated by reference to our Current Report on Form 8-K filed with the SEC on June 4, 2026</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8"/>
                  <w:u w:val="single"/>
                </w:rPr>
                <w:t>Second Amended and Restated Guaranty dated as of July 13, 2017 between Cimpress' subsidiary guarantors named therein as guarantors (the "Subsidiary Guarantors") and the Administrative Agent, which amends and restates the Amended and Restated Guaranty dated as of February 8, 2013, is incorporated by reference to our Current Report on Form 8-K filed with the SEC on July 14, 2017</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18"/>
                  <w:u w:val="single"/>
                </w:rPr>
                <w:t>Amended and Restated Pledge and Security Agreement dated as of July 13, 2017 between certain Borrowers and Subsidiary Guarantors, on one hand, and the Administrative Agent, on the other hand, which amends and restates the Pledge and Security Agreement dated as of February 8, 2013, is incorporated by reference to our Current Report on Form 8-K filed with the SEC on July 14, 2017</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8"/>
                  <w:u w:val="single"/>
                </w:rPr>
                <w:t>Insider Trading Policy is incorporated by reference to our Annual Report on Form 10-K for the fiscal year ended June 30,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subsidiariesofcimpres.htm">
              <w:r>
                <w:rPr>
                  <w:rStyle w:val="InternetLink"/>
                  <w:rFonts w:ascii="Arial;sans-serif" w:hAnsi="Arial;sans-serif"/>
                  <w:b w:val="false"/>
                  <w:color w:val="0000FF"/>
                  <w:sz w:val="18"/>
                  <w:u w:val="single"/>
                </w:rPr>
                <w:t>Subsidiaries of Cimpress plc</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fy26consentofindepend.htm">
              <w:r>
                <w:rPr>
                  <w:rStyle w:val="InternetLink"/>
                  <w:rFonts w:ascii="Arial;sans-serif" w:hAnsi="Arial;sans-serif"/>
                  <w:b w:val="false"/>
                  <w:color w:val="0000FF"/>
                  <w:sz w:val="18"/>
                  <w:u w:val="single"/>
                </w:rPr>
                <w:t>Consent of PricewaterhouseCoopers LLP, Independent Registered Public Accounting Firm</w:t>
              </w:r>
            </w:hyperlink>
            <w:r>
              <w:rPr>
                <w:color w:val="000000"/>
              </w:rPr>
              <w:t xml:space="preserve"> </w:t>
            </w:r>
            <w:r>
              <w:rPr>
                <w:rFonts w:ascii="Arial;sans-serif" w:hAnsi="Arial;sans-serif"/>
                <w:b w:val="false"/>
                <w:color w:val="000000"/>
                <w:sz w:val="18"/>
              </w:rPr>
              <w:t>(PCAOB ID 238)</w:t>
            </w:r>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6.htm">
              <w:r>
                <w:rPr>
                  <w:rStyle w:val="InternetLink"/>
                  <w:rFonts w:ascii="Arial;sans-serif" w:hAnsi="Arial;sans-serif"/>
                  <w:b w:val="false"/>
                  <w:color w:val="0000FF"/>
                  <w:sz w:val="18"/>
                  <w:u w:val="single"/>
                </w:rPr>
                <w:t>Certification pursuant to Section 302 of the Sarbanes-Oxley Act of 2002, Rule 13a-14(a)/15d-14(a), by Chief Executive Officer</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6.htm">
              <w:r>
                <w:rPr>
                  <w:rStyle w:val="InternetLink"/>
                  <w:rFonts w:ascii="Arial;sans-serif" w:hAnsi="Arial;sans-serif"/>
                  <w:b w:val="false"/>
                  <w:color w:val="0000FF"/>
                  <w:sz w:val="18"/>
                  <w:u w:val="single"/>
                </w:rPr>
                <w:t>Certification pursuant to Section 302 of the Sarbanes-Oxley Act of 2002, Rule 13a-14(a)/15d-14(a), by Chief Financial Officer</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63026.htm">
              <w:r>
                <w:rPr>
                  <w:rStyle w:val="InternetLink"/>
                  <w:rFonts w:ascii="Arial;sans-serif" w:hAnsi="Arial;sans-serif"/>
                  <w:b w:val="false"/>
                  <w:color w:val="0000FF"/>
                  <w:sz w:val="18"/>
                  <w:u w:val="single"/>
                </w:rPr>
                <w:t>Certification pursuant to 18 U.S.C. Section 1350, as adopted pursuant to Section 906 of the Sarbanes-Oxley Act of 2002, by Chief Executive Officer and Chief Financial Officer</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18"/>
                  <w:u w:val="single"/>
                </w:rPr>
                <w:t>Compensation Recovery Policy is incorporated by reference to our Annual Report on Form 10-K for the fiscal year ended June 30, 2023</w:t>
              </w:r>
            </w:hyperlink>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following materials from this Annual Report on Form 10-K, formatted in Inline Extensible Business Reporting Language (iXBRL): (i) Consolidated Balance Sheets, (ii) Consolidated Statements of Operations, (iii) Statements of Shareholder's Equity, (iv) Consolidated Statements of Cash Flows and (v) Notes to Condensed Consolidated Financial Statements.</w:t>
            </w:r>
          </w:p>
        </w:tc>
      </w:tr>
      <w:tr>
        <w:trPr/>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iXBRL and contained in Exhibit 101)</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16. </w:t>
      </w:r>
      <w:r>
        <w:rPr>
          <w:rFonts w:ascii="Arial;sans-serif" w:hAnsi="Arial;sans-serif"/>
          <w:b/>
          <w:i/>
          <w:color w:val="000000"/>
          <w:sz w:val="20"/>
        </w:rPr>
        <w:t>Form 10-K Summary</w:t>
      </w:r>
    </w:p>
    <w:p>
      <w:pPr>
        <w:pStyle w:val="TextBody"/>
        <w:bidi w:val="0"/>
        <w:spacing w:lineRule="auto" w:line="288" w:before="220" w:after="283"/>
        <w:jc w:val="left"/>
        <w:rPr>
          <w:color w:val="000000"/>
        </w:rPr>
      </w:pPr>
      <w:r>
        <w:rPr>
          <w:color w:val="000000"/>
        </w:rPr>
        <w:t>    </w:t>
      </w: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60" w:after="283"/>
        <w:jc w:val="left"/>
        <w:rPr/>
      </w:pPr>
      <w:r>
        <w:rPr>
          <w:rFonts w:ascii="Arial;sans-serif" w:hAnsi="Arial;sans-serif"/>
          <w:b w:val="false"/>
          <w:color w:val="000000"/>
          <w:sz w:val="20"/>
        </w:rPr>
        <w:t>August 7, 2026</w:t>
      </w:r>
      <w:r>
        <w:rPr>
          <w:color w:val="EE2724"/>
        </w:rPr>
        <w:t> </w:t>
      </w:r>
      <w:r>
        <w:rPr>
          <w:color w:val="000000"/>
        </w:rPr>
        <w:t>                        </w:t>
      </w:r>
      <w:r>
        <w:rPr>
          <w:rFonts w:ascii="Arial;sans-serif" w:hAnsi="Arial;sans-serif"/>
          <w:b w:val="false"/>
          <w:color w:val="000000"/>
          <w:sz w:val="20"/>
        </w:rPr>
        <w:t>Cimpress plc                                                    </w:t>
      </w:r>
    </w:p>
    <w:tbl>
      <w:tblPr>
        <w:tblW w:w="3836" w:type="dxa"/>
        <w:jc w:val="center"/>
        <w:tblInd w:w="0" w:type="dxa"/>
        <w:tblLayout w:type="fixed"/>
        <w:tblCellMar>
          <w:top w:w="28" w:type="dxa"/>
          <w:left w:w="28" w:type="dxa"/>
          <w:bottom w:w="28" w:type="dxa"/>
          <w:right w:w="28" w:type="dxa"/>
        </w:tblCellMar>
      </w:tblPr>
      <w:tblGrid>
        <w:gridCol w:w="124"/>
        <w:gridCol w:w="109"/>
        <w:gridCol w:w="109"/>
        <w:gridCol w:w="154"/>
        <w:gridCol w:w="154"/>
        <w:gridCol w:w="156"/>
        <w:gridCol w:w="884"/>
        <w:gridCol w:w="884"/>
        <w:gridCol w:w="1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Robert S. Keane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Robert S. Keane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Founder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8245" w:type="dxa"/>
        <w:jc w:val="center"/>
        <w:tblInd w:w="0" w:type="dxa"/>
        <w:tblLayout w:type="fixed"/>
        <w:tblCellMar>
          <w:top w:w="28" w:type="dxa"/>
          <w:left w:w="28" w:type="dxa"/>
          <w:bottom w:w="28" w:type="dxa"/>
          <w:right w:w="28" w:type="dxa"/>
        </w:tblCellMar>
      </w:tblPr>
      <w:tblGrid>
        <w:gridCol w:w="862"/>
        <w:gridCol w:w="759"/>
        <w:gridCol w:w="764"/>
        <w:gridCol w:w="109"/>
        <w:gridCol w:w="109"/>
        <w:gridCol w:w="109"/>
        <w:gridCol w:w="1240"/>
        <w:gridCol w:w="1240"/>
        <w:gridCol w:w="1256"/>
        <w:gridCol w:w="109"/>
        <w:gridCol w:w="109"/>
        <w:gridCol w:w="109"/>
        <w:gridCol w:w="428"/>
        <w:gridCol w:w="428"/>
        <w:gridCol w:w="61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Date</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Robert S.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Founder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Robert S.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Sean E. Quinn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Sophie A. Gasperment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Sophie A. Gasperment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Dessislava Temperley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Dessislava Temperley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Wayne 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Wayne 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Scott Vassalluzzo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7, 2026</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Scott Vassalluzzo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DESCRIPTION OF REGISTERED SECURITIES OF CIMPRESS PLC</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Our capital structure</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Cimpress plc has an authorized share capital of €2,000,000 comprising 100,000,000 ordinary shares of €0.01 each and 100,000,000 preferred shares of €0.01 each.</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Cimpress plc has registered its ordinary shares pursuant to Section 12(b) of the Securities Exchange Act.</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Voting rights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Each of our ordinary shares is entitled to one vote. Under our Constitution, holders of at least a simple majority of the shares issued and entitled to vote at a general meeting of shareholders constitute a quorum.</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Under the Irish Companies Act and our Constitution, certain matters require “ordinary resolutions,” which must be approved by at least a majority of the votes cast by shareholders at a general meeting, and certain other matters require “special resolutions,” which require the affirmative vote of at least 75% of the votes cast by shareholders at a general meeting.</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An ordinary resolution is needed (among other matters) to: remove a director; provide, vary or renew the directors’ authority to allot shares and to appoint directors (where appointment is by shareholders).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 special resolution is needed (among other matters) to: alter a company’s constitution, exclude statutory preemptive rights on allotment of securities for cash (up to five years); reduce a company’s share capital; re-register a public company as a private company (or vice versa); and approve a scheme of arrangement.</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Preemptive rights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Under Irish law, certain statutory preemption rights apply automatically in favor of shareholders where shares are to be issued for cash. However, our shareholders have authorized our Board of Directors to opt out of these preemption rights with respect to ordinary shares with an aggregate nominal value amount up to a maximum of 20% of our issued and outstanding share capital. This authorization expires 18 months after our last annual general meeting of shareholders, and we generally seek renewal of the authorization for an additional 18 months at each annual general meeting of shareholders. Renewal of this authorization requires 75% of the votes cast at a general meeting of shareholders, and if the authorization is not renewed, our ordinary shares issued for cash must be offered to our existing shareholders on a pro rata basis to their existing shareholdings before our ordinary shares may be issued to any new shareholders.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i/>
          <w:color w:val="000000"/>
          <w:sz w:val="20"/>
        </w:rPr>
      </w:pPr>
      <w:r>
        <w:rPr>
          <w:rFonts w:ascii="Arial;sans-serif" w:hAnsi="Arial;sans-serif"/>
          <w:b w:val="false"/>
          <w:i/>
          <w:color w:val="000000"/>
          <w:sz w:val="20"/>
        </w:rPr>
        <w:t>Rotating terms of Board of Directors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members of our Board of Directors serve for rotating terms of up to three years.</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21.1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SUBSIDIARIES OF CIMPRESS PLC</w:t>
      </w:r>
    </w:p>
    <w:tbl>
      <w:tblPr>
        <w:tblW w:w="6776" w:type="dxa"/>
        <w:jc w:val="center"/>
        <w:tblInd w:w="0" w:type="dxa"/>
        <w:tblLayout w:type="fixed"/>
        <w:tblCellMar>
          <w:top w:w="28" w:type="dxa"/>
          <w:left w:w="28" w:type="dxa"/>
          <w:bottom w:w="28" w:type="dxa"/>
          <w:right w:w="28" w:type="dxa"/>
        </w:tblCellMar>
      </w:tblPr>
      <w:tblGrid>
        <w:gridCol w:w="1455"/>
        <w:gridCol w:w="1277"/>
        <w:gridCol w:w="1288"/>
        <w:gridCol w:w="109"/>
        <w:gridCol w:w="109"/>
        <w:gridCol w:w="109"/>
        <w:gridCol w:w="710"/>
        <w:gridCol w:w="710"/>
        <w:gridCol w:w="1009"/>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Jurisdiction of Incorporation</w:t>
            </w:r>
          </w:p>
        </w:tc>
      </w:tr>
      <w:tr>
        <w:trPr/>
        <w:tc>
          <w:tcPr>
            <w:tcW w:w="4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99designs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99Designs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Araprint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 A Sign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España,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Investments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Ireland</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Jamaica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Jamaica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Philippines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Schweiz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Technology Czech Republic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Czech Republic</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Tunisie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Tunisia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England and Wales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USA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USA Manufacturing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Cimpress Windsor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Nova Scotia, Canada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Crello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Cyprus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Depositphotos EU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Cyprus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Depositphotos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Druck.at Druck- und Handelsgesellschaft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Drukwerkdeal.nl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Drukwerkdeal.nl Productie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Exaprint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 Print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FM Impressos Personalizados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 Mougère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Mixam Associates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Mixam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 Czech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Czech Republic</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 Promotional Products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Ireland</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 Tennessee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 Tunisia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Tunisia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 Corporate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26" w:type="dxa"/>
        <w:jc w:val="center"/>
        <w:tblInd w:w="0" w:type="dxa"/>
        <w:tblLayout w:type="fixed"/>
        <w:tblCellMar>
          <w:top w:w="28" w:type="dxa"/>
          <w:left w:w="28" w:type="dxa"/>
          <w:bottom w:w="28" w:type="dxa"/>
          <w:right w:w="28" w:type="dxa"/>
        </w:tblCellMar>
      </w:tblPr>
      <w:tblGrid>
        <w:gridCol w:w="1322"/>
        <w:gridCol w:w="1158"/>
        <w:gridCol w:w="1165"/>
        <w:gridCol w:w="109"/>
        <w:gridCol w:w="109"/>
        <w:gridCol w:w="109"/>
        <w:gridCol w:w="508"/>
        <w:gridCol w:w="508"/>
        <w:gridCol w:w="738"/>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Pixartprinting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 Alliance HAV Produktions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Printdeal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Tradeprint Distribution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England and Wales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Truyol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Canada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Ontario, Canada</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Corporate Solutions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Bermuda</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Manufacturing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 USA</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Vistaprint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Netherlands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WIRmachenDRUCK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480" w:after="480"/>
        <w:jc w:val="center"/>
        <w:rPr>
          <w:rFonts w:ascii="Georgia;serif" w:hAnsi="Georgia;serif"/>
          <w:b w:val="false"/>
          <w:color w:val="000000"/>
          <w:sz w:val="24"/>
        </w:rPr>
      </w:pPr>
      <w:r>
        <w:rPr>
          <w:rFonts w:ascii="Georgia;serif" w:hAnsi="Georgia;serif"/>
          <w:b w:val="false"/>
          <w:color w:val="000000"/>
          <w:sz w:val="24"/>
        </w:rPr>
        <w:t>CONSENT OF INDEPENDENT REGISTERED PUBLIC ACCOUNTING FIRM</w:t>
      </w:r>
    </w:p>
    <w:p>
      <w:pPr>
        <w:pStyle w:val="TextBody"/>
        <w:bidi w:val="0"/>
        <w:spacing w:lineRule="auto" w:line="268" w:before="0" w:after="0"/>
        <w:jc w:val="left"/>
        <w:rPr>
          <w:rFonts w:ascii="Georgia;serif" w:hAnsi="Georgia;serif"/>
          <w:b w:val="false"/>
          <w:color w:val="000000"/>
          <w:sz w:val="24"/>
        </w:rPr>
      </w:pPr>
      <w:r>
        <w:rPr>
          <w:rFonts w:ascii="Georgia;serif" w:hAnsi="Georgia;serif"/>
          <w:b w:val="false"/>
          <w:color w:val="000000"/>
          <w:sz w:val="24"/>
        </w:rPr>
        <w:t>We hereby consent to the incorporation by reference in the Registration Statements on Form S-8 (No. 333-268689; 333-129912; 333-133797; 333-147753; 333-176421; 333-211743; 333-251176; and 333-286903) of Cimpress plc of our report dated August 7,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4"/>
        </w:rPr>
      </w:pPr>
      <w:r>
        <w:rPr>
          <w:rFonts w:ascii="Georgia;serif" w:hAnsi="Georgia;serif"/>
          <w:b w:val="false"/>
          <w:color w:val="000000"/>
          <w:sz w:val="24"/>
        </w:rPr>
        <w:t>/s/ PricewaterhouseCoopers LLP</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4"/>
        </w:rPr>
      </w:pPr>
      <w:r>
        <w:rPr>
          <w:rFonts w:ascii="Georgia;serif" w:hAnsi="Georgia;serif"/>
          <w:b w:val="false"/>
          <w:color w:val="000000"/>
          <w:sz w:val="24"/>
        </w:rPr>
        <w:t xml:space="preserve">Boston, Massachusetts </w:t>
      </w:r>
    </w:p>
    <w:p>
      <w:pPr>
        <w:pStyle w:val="TextBody"/>
        <w:bidi w:val="0"/>
        <w:spacing w:lineRule="auto" w:line="268"/>
        <w:jc w:val="left"/>
        <w:rPr>
          <w:rFonts w:ascii="Georgia;serif" w:hAnsi="Georgia;serif"/>
          <w:b w:val="false"/>
          <w:color w:val="000000"/>
          <w:sz w:val="24"/>
        </w:rPr>
      </w:pPr>
      <w:r>
        <w:rPr>
          <w:rFonts w:ascii="Georgia;serif" w:hAnsi="Georgia;serif"/>
          <w:b w:val="false"/>
          <w:color w:val="000000"/>
          <w:sz w:val="24"/>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Robert S. Keane,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47" w:before="0" w:after="120"/>
        <w:jc w:val="left"/>
        <w:rPr>
          <w:rFonts w:ascii="Arial;sans-serif" w:hAnsi="Arial;sans-serif"/>
          <w:b w:val="false"/>
          <w:color w:val="000000"/>
          <w:sz w:val="20"/>
        </w:rPr>
      </w:pPr>
      <w:r>
        <w:rPr>
          <w:rFonts w:ascii="Arial;sans-serif" w:hAnsi="Arial;sans-serif"/>
          <w:b w:val="false"/>
          <w:color w:val="000000"/>
          <w:sz w:val="20"/>
        </w:rPr>
        <w:t>Date: August 7, 2026</w:t>
      </w:r>
    </w:p>
    <w:p>
      <w:pPr>
        <w:pStyle w:val="TextBody"/>
        <w:bidi w:val="0"/>
        <w:spacing w:before="0" w:after="120"/>
        <w:jc w:val="left"/>
        <w:rPr/>
      </w:pPr>
      <w:r>
        <w:rPr/>
      </w:r>
    </w:p>
    <w:tbl>
      <w:tblPr>
        <w:tblW w:w="2306" w:type="dxa"/>
        <w:jc w:val="left"/>
        <w:tblInd w:w="0" w:type="dxa"/>
        <w:tblLayout w:type="fixed"/>
        <w:tblCellMar>
          <w:top w:w="28" w:type="dxa"/>
          <w:left w:w="28" w:type="dxa"/>
          <w:bottom w:w="28" w:type="dxa"/>
          <w:right w:w="28" w:type="dxa"/>
        </w:tblCellMar>
      </w:tblPr>
      <w:tblGrid>
        <w:gridCol w:w="701"/>
        <w:gridCol w:w="615"/>
        <w:gridCol w:w="618"/>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76" w:before="0" w:after="120"/>
        <w:jc w:val="left"/>
        <w:rPr>
          <w:rFonts w:ascii="Arial;sans-serif" w:hAnsi="Arial;sans-serif"/>
          <w:b w:val="false"/>
          <w:color w:val="000000"/>
          <w:sz w:val="20"/>
        </w:rPr>
      </w:pPr>
      <w:r>
        <w:rPr>
          <w:rFonts w:ascii="Arial;sans-serif" w:hAnsi="Arial;sans-serif"/>
          <w:b w:val="false"/>
          <w:color w:val="000000"/>
          <w:sz w:val="20"/>
        </w:rPr>
        <w:t>I, Sean E. Quinn,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76" w:before="0" w:after="120"/>
        <w:ind w:left="0" w:right="0" w:firstLine="120"/>
        <w:jc w:val="left"/>
        <w:rPr>
          <w:rFonts w:ascii="Arial;sans-serif" w:hAnsi="Arial;sans-serif"/>
          <w:b w:val="false"/>
          <w:color w:val="000000"/>
          <w:sz w:val="20"/>
        </w:rPr>
      </w:pPr>
      <w:r>
        <w:rPr>
          <w:rFonts w:ascii="Arial;sans-serif" w:hAnsi="Arial;sans-serif"/>
          <w:b w:val="false"/>
          <w:color w:val="000000"/>
          <w:sz w:val="20"/>
        </w:rPr>
        <w:t>Date: August 7, 2026</w:t>
      </w:r>
    </w:p>
    <w:tbl>
      <w:tblPr>
        <w:tblW w:w="2262" w:type="dxa"/>
        <w:jc w:val="left"/>
        <w:tblInd w:w="0" w:type="dxa"/>
        <w:tblLayout w:type="fixed"/>
        <w:tblCellMar>
          <w:top w:w="28" w:type="dxa"/>
          <w:left w:w="28" w:type="dxa"/>
          <w:bottom w:w="28" w:type="dxa"/>
          <w:right w:w="28" w:type="dxa"/>
        </w:tblCellMar>
      </w:tblPr>
      <w:tblGrid>
        <w:gridCol w:w="683"/>
        <w:gridCol w:w="602"/>
        <w:gridCol w:w="605"/>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ind w:left="0" w:right="0" w:firstLine="2471"/>
        <w:jc w:val="center"/>
        <w:rPr/>
      </w:pPr>
      <w:r>
        <w:rPr/>
      </w:r>
    </w:p>
    <w:p>
      <w:pPr>
        <w:pStyle w:val="TextBody"/>
        <w:bidi w:val="0"/>
        <w:spacing w:lineRule="auto" w:line="247" w:before="0" w:after="120"/>
        <w:ind w:left="0" w:right="0" w:firstLine="820"/>
        <w:jc w:val="left"/>
        <w:rPr>
          <w:rFonts w:ascii="Arial;sans-serif" w:hAnsi="Arial;sans-serif"/>
          <w:b w:val="false"/>
          <w:color w:val="000000"/>
          <w:sz w:val="20"/>
        </w:rPr>
      </w:pPr>
      <w:r>
        <w:rPr>
          <w:rFonts w:ascii="Arial;sans-serif" w:hAnsi="Arial;sans-serif"/>
          <w:b w:val="false"/>
          <w:color w:val="000000"/>
          <w:sz w:val="20"/>
        </w:rPr>
        <w:t>In connection with the Annual Report on Form 10-K of Cimpress plc (the “Company”) for the year ended June 30, 2026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a.The Report fully complies with the requirements of Section 13(a) or 15(d) of the Securities Exchange Act of 1934;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b.The information contained in the Report fairly presents, in all material respects, the financial condition and results of operations of the Company.</w:t>
      </w:r>
    </w:p>
    <w:p>
      <w:pPr>
        <w:pStyle w:val="TextBody"/>
        <w:bidi w:val="0"/>
        <w:spacing w:before="0" w:after="120"/>
        <w:ind w:left="0" w:right="0" w:firstLine="120"/>
        <w:jc w:val="left"/>
        <w:rPr/>
      </w:pPr>
      <w:r>
        <w:rPr/>
      </w:r>
    </w:p>
    <w:tbl>
      <w:tblPr>
        <w:tblW w:w="4910"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09"/>
        <w:gridCol w:w="109"/>
        <w:gridCol w:w="109"/>
        <w:gridCol w:w="109"/>
        <w:gridCol w:w="109"/>
        <w:gridCol w:w="109"/>
        <w:gridCol w:w="573"/>
        <w:gridCol w:w="573"/>
        <w:gridCol w:w="818"/>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spacing w:before="0" w:after="120"/>
        <w:ind w:left="0" w:right="0" w:firstLine="120"/>
        <w:jc w:val="left"/>
        <w:rPr/>
      </w:pPr>
      <w:r>
        <w:rPr/>
      </w:r>
    </w:p>
    <w:tbl>
      <w:tblPr>
        <w:tblW w:w="4865"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09"/>
        <w:gridCol w:w="109"/>
        <w:gridCol w:w="109"/>
        <w:gridCol w:w="109"/>
        <w:gridCol w:w="109"/>
        <w:gridCol w:w="109"/>
        <w:gridCol w:w="560"/>
        <w:gridCol w:w="560"/>
        <w:gridCol w:w="79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before="0" w:after="283"/>
        <w:ind w:left="0" w:right="0" w:firstLine="12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sec.gov/Archives/edgar/data/1262976/000119312524228494/d884904dex41.htm" TargetMode="External"/><Relationship Id="rId18" Type="http://schemas.openxmlformats.org/officeDocument/2006/relationships/hyperlink" Target="https://www.sec.gov/Archives/edgar/data/1262976/000126297620000040/exh42formofwarrant.htm" TargetMode="External"/><Relationship Id="rId19" Type="http://schemas.openxmlformats.org/officeDocument/2006/relationships/hyperlink" Target="https://www.sec.gov/Archives/edgar/data/1262976/000119312519305373/d841671dex103.htm" TargetMode="External"/><Relationship Id="rId20" Type="http://schemas.openxmlformats.org/officeDocument/2006/relationships/hyperlink" Target="https://www.sec.gov/Archives/edgar/data/1262976/000126297620000007/ex105psuagmtemployees.htm" TargetMode="External"/><Relationship Id="rId21" Type="http://schemas.openxmlformats.org/officeDocument/2006/relationships/hyperlink" Target="https://www.sec.gov/Archives/edgar/data/1262976/000126297620000007/ex106psuagmtceo.htm" TargetMode="External"/><Relationship Id="rId22" Type="http://schemas.openxmlformats.org/officeDocument/2006/relationships/hyperlink" Target="https://www.sec.gov/Archives/edgar/data/1262976/000126297620000007/ex107psuagmtbod.htm" TargetMode="External"/><Relationship Id="rId23" Type="http://schemas.openxmlformats.org/officeDocument/2006/relationships/hyperlink" Target="https://www.sec.gov/Archives/edgar/data/1262976/000126297624000139/a2020equityincentiveplanas.htm" TargetMode="External"/><Relationship Id="rId24" Type="http://schemas.openxmlformats.org/officeDocument/2006/relationships/hyperlink" Target="https://www.sec.gov/Archives/edgar/data/0001262976/000126297621000008/ex102rsuagreement.htm" TargetMode="External"/><Relationship Id="rId25" Type="http://schemas.openxmlformats.org/officeDocument/2006/relationships/hyperlink" Target="https://www.sec.gov/Archives/edgar/data/0001262976/000126297621000008/ex103employeepsuagreement.htm" TargetMode="External"/><Relationship Id="rId26" Type="http://schemas.openxmlformats.org/officeDocument/2006/relationships/hyperlink" Target="https://www.sec.gov/Archives/edgar/data/0001262976/000126297621000008/ex104ceopsuagreement.htm" TargetMode="External"/><Relationship Id="rId27" Type="http://schemas.openxmlformats.org/officeDocument/2006/relationships/hyperlink" Target="https://www.sec.gov/Archives/edgar/data/0001262976/000126297621000008/ex105bodpsuagreement.htm" TargetMode="External"/><Relationship Id="rId28" Type="http://schemas.openxmlformats.org/officeDocument/2006/relationships/hyperlink" Target="https://www.sec.gov/Archives/edgar/data/1262976/000126297623000079/ex101cimpressfy24financial.htm" TargetMode="External"/><Relationship Id="rId29" Type="http://schemas.openxmlformats.org/officeDocument/2006/relationships/hyperlink" Target="https://www.sec.gov/Archives/edgar/data/1262976/000126297623000079/ex102vistafy24financialpsu.htm" TargetMode="External"/><Relationship Id="rId30" Type="http://schemas.openxmlformats.org/officeDocument/2006/relationships/hyperlink" Target="https://www.sec.gov/Archives/edgar/data/1262976/000162828025047602/exhibit101-employeefinanci.htm" TargetMode="External"/><Relationship Id="rId31" Type="http://schemas.openxmlformats.org/officeDocument/2006/relationships/hyperlink" Target="https://www.sec.gov/Archives/edgar/data/1262976/000162828025047602/exhibit102-employeefinanci.htm" TargetMode="External"/><Relationship Id="rId32" Type="http://schemas.openxmlformats.org/officeDocument/2006/relationships/hyperlink" Target="https://www.sec.gov/Archives/edgar/data/1262976/000126297620000003/a101bodindemnification.htm" TargetMode="External"/><Relationship Id="rId33" Type="http://schemas.openxmlformats.org/officeDocument/2006/relationships/hyperlink" Target="https://www.sec.gov/Archives/edgar/data/1262976/000126297620000003/a102eoindemnificationd.htm" TargetMode="External"/><Relationship Id="rId34" Type="http://schemas.openxmlformats.org/officeDocument/2006/relationships/hyperlink" Target="https://www.sec.gov/Archives/edgar/data/1262976/000126297620000003/a103bodindemnification.htm" TargetMode="External"/><Relationship Id="rId35" Type="http://schemas.openxmlformats.org/officeDocument/2006/relationships/hyperlink" Target="https://www.sec.gov/Archives/edgar/data/1262976/000126297620000003/a104eoindemnificationa.htm" TargetMode="External"/><Relationship Id="rId36" Type="http://schemas.openxmlformats.org/officeDocument/2006/relationships/hyperlink" Target="https://www.sec.gov/Archives/edgar/data/1262976/000119312505190875/dex1022.htm" TargetMode="External"/><Relationship Id="rId37" Type="http://schemas.openxmlformats.org/officeDocument/2006/relationships/hyperlink" Target="https://www.sec.gov/Archives/edgar/data/1262976/000119312505190875/dex1023.htm" TargetMode="External"/><Relationship Id="rId38" Type="http://schemas.openxmlformats.org/officeDocument/2006/relationships/hyperlink" Target="https://www.sec.gov/Archives/edgar/data/1262976/000126297624000064/ex1024rkeaneemploymentagmt.htm" TargetMode="External"/><Relationship Id="rId39" Type="http://schemas.openxmlformats.org/officeDocument/2006/relationships/hyperlink" Target="https://www.sec.gov/Archives/edgar/data/1262976/000095012310081849/b80590exv10w19.htm" TargetMode="External"/><Relationship Id="rId40" Type="http://schemas.openxmlformats.org/officeDocument/2006/relationships/hyperlink" Target="https://www.sec.gov/Archives/edgar/data/1262976/000126297623000026/ex10_1.htm" TargetMode="External"/><Relationship Id="rId41" Type="http://schemas.openxmlformats.org/officeDocument/2006/relationships/hyperlink" Target="https://www.sec.gov/Archives/edgar/data/1262976/000126297623000036/ex104baumgartneremployment.htm" TargetMode="External"/><Relationship Id="rId42" Type="http://schemas.openxmlformats.org/officeDocument/2006/relationships/hyperlink" Target="https://www.sec.gov/Archives/edgar/data/1262976/000126297623000036/ex105baumgartneramendmentt.htm" TargetMode="External"/><Relationship Id="rId43" Type="http://schemas.openxmlformats.org/officeDocument/2006/relationships/hyperlink" Target="https://www.sec.gov/Archives/edgar/data/1262976/000126297626000016/exhibit101florianbaumgartn.htm" TargetMode="External"/><Relationship Id="rId44" Type="http://schemas.openxmlformats.org/officeDocument/2006/relationships/hyperlink" Target="https://www.sec.gov/Archives/edgar/data/1262976/000126297623000026/ex10_3.htm" TargetMode="External"/><Relationship Id="rId45" Type="http://schemas.openxmlformats.org/officeDocument/2006/relationships/hyperlink" Target="https://www.sec.gov/Archives/edgar/data/1262976/000126297623000026/ex10_2.htm" TargetMode="External"/><Relationship Id="rId46" Type="http://schemas.openxmlformats.org/officeDocument/2006/relationships/hyperlink" Target="https://www.sec.gov/Archives/edgar/data/1262976/000126297626000020/cimpress-2026amendmentan.htm" TargetMode="External"/><Relationship Id="rId47" Type="http://schemas.openxmlformats.org/officeDocument/2006/relationships/hyperlink" Target="https://www.sec.gov/Archives/edgar/data/1262976/000126297617000020/ex102secondarguaranty.htm" TargetMode="External"/><Relationship Id="rId48" Type="http://schemas.openxmlformats.org/officeDocument/2006/relationships/hyperlink" Target="https://www.sec.gov/Archives/edgar/data/1262976/000126297617000020/ex103pledgeandsecurityagre.htm" TargetMode="External"/><Relationship Id="rId49" Type="http://schemas.openxmlformats.org/officeDocument/2006/relationships/hyperlink" Target="https://www.sec.gov/Archives/edgar/data/1262976/000126297623000051/ex191-insidertradingpolicy.htm" TargetMode="External"/><Relationship Id="rId50" Type="http://schemas.openxmlformats.org/officeDocument/2006/relationships/hyperlink" Target="https://www.sec.gov/Archives/edgar/data/1262976/000126297623000051/ex971-executivecompensatio.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58248</Words>
  <Characters>328459</Characters>
  <CharactersWithSpaces>383720</CharactersWithSpaces>
  <Paragraphs>5767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