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614.xml.htm"/>
      <w:bookmarkStart w:id="1" w:name="kswkform4_17870846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Wensveen Maarten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31"/>
        <w:gridCol w:w="454"/>
        <w:gridCol w:w="755"/>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25,112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28,809</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30,112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41,795</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8,968</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94.46</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32,827</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(right to acquire)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08/15/2023</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08/15/2024</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08/15/2025</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acquired automatically vested pursuant to an award of restricted share units (RSUs), with each RSU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 over the following four-year period: 25% of the original number of RSUs granted vest on the Date Exercisable in Table II and 6.25% of such number of RSUs vest quarterly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Maarten Wensveen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117"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4574</Characters>
  <CharactersWithSpaces>5262</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