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585470</wp:posOffset>
            </wp:positionH>
            <wp:positionV relativeFrom="page">
              <wp:posOffset>603250</wp:posOffset>
            </wp:positionV>
            <wp:extent cx="6386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517525</wp:posOffset>
            </wp:positionV>
            <wp:extent cx="6386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6195" cy="8255"/>
                    </a:xfrm>
                    <a:prstGeom prst="rect">
                      <a:avLst/>
                    </a:prstGeom>
                    <a:noFill/>
                  </pic:spPr>
                </pic:pic>
              </a:graphicData>
            </a:graphic>
          </wp:anchor>
        </w:drawing>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_________________________________</w:t>
      </w:r>
    </w:p>
    <w:p>
      <w:pPr>
        <w:jc w:val="center"/>
        <w:ind w:right="-79"/>
        <w:spacing w:after="0"/>
        <w:rPr>
          <w:sz w:val="20"/>
          <w:szCs w:val="20"/>
          <w:color w:val="auto"/>
        </w:rPr>
      </w:pPr>
      <w:r>
        <w:rPr>
          <w:rFonts w:ascii="Arial" w:cs="Arial" w:eastAsia="Arial" w:hAnsi="Arial"/>
          <w:sz w:val="29"/>
          <w:szCs w:val="29"/>
          <w:b w:val="1"/>
          <w:bCs w:val="1"/>
          <w:color w:val="auto"/>
        </w:rPr>
        <w:t>Form 10-K</w:t>
      </w:r>
    </w:p>
    <w:p>
      <w:pPr>
        <w:spacing w:after="0" w:line="20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71" w:lineRule="exact"/>
        <w:rPr>
          <w:sz w:val="24"/>
          <w:szCs w:val="24"/>
          <w:color w:val="auto"/>
        </w:rPr>
      </w:pPr>
    </w:p>
    <w:p>
      <w:pPr>
        <w:ind w:left="500"/>
        <w:spacing w:after="0"/>
        <w:tabs>
          <w:tab w:leader="none" w:pos="3060" w:val="left"/>
        </w:tabs>
        <w:rPr>
          <w:sz w:val="20"/>
          <w:szCs w:val="20"/>
          <w:color w:val="auto"/>
        </w:rPr>
      </w:pPr>
      <w:r>
        <w:rPr>
          <w:rFonts w:ascii="Arial" w:cs="Arial" w:eastAsia="Arial" w:hAnsi="Arial"/>
          <w:sz w:val="15"/>
          <w:szCs w:val="15"/>
          <w:b w:val="1"/>
          <w:bCs w:val="1"/>
          <w:color w:val="auto"/>
        </w:rPr>
        <w:t>For the annual period ended</w:t>
      </w:r>
      <w:r>
        <w:rPr>
          <w:sz w:val="20"/>
          <w:szCs w:val="20"/>
          <w:color w:val="auto"/>
        </w:rPr>
        <w:tab/>
      </w:r>
      <w:r>
        <w:rPr>
          <w:rFonts w:ascii="Arial" w:cs="Arial" w:eastAsia="Arial" w:hAnsi="Arial"/>
          <w:sz w:val="15"/>
          <w:szCs w:val="15"/>
          <w:b w:val="1"/>
          <w:bCs w:val="1"/>
          <w:color w:val="auto"/>
        </w:rPr>
        <w:t>June 30, 2020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ind w:left="500" w:hanging="330"/>
        <w:spacing w:after="0" w:line="183" w:lineRule="auto"/>
        <w:tabs>
          <w:tab w:leader="none" w:pos="500" w:val="left"/>
        </w:tabs>
        <w:numPr>
          <w:ilvl w:val="0"/>
          <w:numId w:val="2"/>
        </w:numPr>
        <w:rPr>
          <w:rFonts w:ascii="MS PGothic" w:cs="MS PGothic" w:eastAsia="MS PGothic" w:hAnsi="MS PGothic"/>
          <w:sz w:val="6"/>
          <w:szCs w:val="6"/>
          <w:color w:val="auto"/>
        </w:rPr>
      </w:pPr>
      <w:r>
        <w:rPr>
          <w:rFonts w:ascii="Arial" w:cs="Arial" w:eastAsia="Arial" w:hAnsi="Arial"/>
          <w:sz w:val="7"/>
          <w:szCs w:val="7"/>
          <w:b w:val="1"/>
          <w:bCs w:val="1"/>
          <w:color w:val="auto"/>
        </w:rPr>
        <w:t>TRANSITION REPORT PURSUANT TO SECTION 13 OR 15(d) OF THE SECURITIES EXCHANGE ACT OF 1934</w:t>
      </w:r>
    </w:p>
    <w:p>
      <w:pPr>
        <w:spacing w:after="0" w:line="212" w:lineRule="exact"/>
        <w:rPr>
          <w:sz w:val="24"/>
          <w:szCs w:val="24"/>
          <w:color w:val="auto"/>
        </w:rPr>
      </w:pPr>
    </w:p>
    <w:p>
      <w:pPr>
        <w:ind w:left="500"/>
        <w:spacing w:after="0"/>
        <w:tabs>
          <w:tab w:leader="none" w:pos="32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Commission file number 000-51539</w:t>
      </w:r>
    </w:p>
    <w:p>
      <w:pPr>
        <w:spacing w:after="0" w:line="20"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_________________________________</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Cimpress plc</w:t>
      </w:r>
    </w:p>
    <w:p>
      <w:pPr>
        <w:spacing w:after="0" w:line="16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0"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_________________________________</w:t>
      </w:r>
    </w:p>
    <w:p>
      <w:pPr>
        <w:sectPr>
          <w:pgSz w:w="11900" w:h="16838" w:orient="portrait"/>
          <w:cols w:equalWidth="0" w:num="1">
            <w:col w:w="11160"/>
          </w:cols>
          <w:pgMar w:left="320" w:top="1139" w:right="419" w:bottom="1440" w:gutter="0" w:footer="0" w:header="0"/>
        </w:sectPr>
      </w:pPr>
    </w:p>
    <w:p>
      <w:pPr>
        <w:spacing w:after="0" w:line="144"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Ireland</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98-0417483</w:t>
      </w:r>
    </w:p>
    <w:p>
      <w:pPr>
        <w:spacing w:after="0" w:line="106" w:lineRule="exact"/>
        <w:rPr>
          <w:sz w:val="24"/>
          <w:szCs w:val="24"/>
          <w:color w:val="auto"/>
        </w:rPr>
      </w:pPr>
    </w:p>
    <w:p>
      <w:pPr>
        <w:sectPr>
          <w:pgSz w:w="11900" w:h="16838" w:orient="portrait"/>
          <w:cols w:equalWidth="0" w:num="2">
            <w:col w:w="7300" w:space="720"/>
            <w:col w:w="3140"/>
          </w:cols>
          <w:pgMar w:left="320" w:top="1139" w:right="419" w:bottom="1440" w:gutter="0" w:footer="0" w:header="0"/>
          <w:type w:val="continuous"/>
        </w:sectPr>
      </w:pPr>
    </w:p>
    <w:p>
      <w:pPr>
        <w:ind w:left="174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78" w:lineRule="exact"/>
        <w:rPr>
          <w:sz w:val="24"/>
          <w:szCs w:val="24"/>
          <w:color w:val="auto"/>
        </w:rPr>
      </w:pPr>
    </w:p>
    <w:p>
      <w:pPr>
        <w:sectPr>
          <w:pgSz w:w="11900" w:h="16838" w:orient="portrait"/>
          <w:cols w:equalWidth="0" w:num="2">
            <w:col w:w="7080" w:space="720"/>
            <w:col w:w="3360"/>
          </w:cols>
          <w:pgMar w:left="320" w:top="1139" w:right="41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auto"/>
        </w:rPr>
        <w:t>Building D, Xerox Technology Park A91 H9N9,</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Dundalk, Co. Louth</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160"/>
          </w:cols>
          <w:pgMar w:left="320" w:top="1139" w:right="419" w:bottom="1440" w:gutter="0" w:footer="0" w:header="0"/>
          <w:type w:val="continuous"/>
        </w:sectPr>
      </w:pPr>
    </w:p>
    <w:p>
      <w:pPr>
        <w:spacing w:after="0" w:line="261" w:lineRule="exact"/>
        <w:rPr>
          <w:sz w:val="24"/>
          <w:szCs w:val="24"/>
          <w:color w:val="auto"/>
        </w:rPr>
      </w:pPr>
    </w:p>
    <w:p>
      <w:pPr>
        <w:ind w:left="126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75" w:lineRule="exact"/>
        <w:rPr>
          <w:sz w:val="24"/>
          <w:szCs w:val="24"/>
          <w:color w:val="auto"/>
        </w:rPr>
      </w:pPr>
    </w:p>
    <w:p>
      <w:pPr>
        <w:sectPr>
          <w:pgSz w:w="11900" w:h="16838" w:orient="portrait"/>
          <w:cols w:equalWidth="0" w:num="3">
            <w:col w:w="4320" w:space="720"/>
            <w:col w:w="2420" w:space="720"/>
            <w:col w:w="2980"/>
          </w:cols>
          <w:pgMar w:left="320" w:top="1139" w:right="41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Ordinary Shares, nominal value of €0.01 per</w:t>
      </w:r>
    </w:p>
    <w:p>
      <w:pPr>
        <w:sectPr>
          <w:pgSz w:w="11900" w:h="16838" w:orient="portrait"/>
          <w:cols w:equalWidth="0" w:num="1">
            <w:col w:w="11160"/>
          </w:cols>
          <w:pgMar w:left="320" w:top="1139" w:right="419" w:bottom="1440" w:gutter="0" w:footer="0" w:header="0"/>
          <w:type w:val="continuous"/>
        </w:sectPr>
      </w:pPr>
    </w:p>
    <w:p>
      <w:pPr>
        <w:spacing w:after="0" w:line="11" w:lineRule="exact"/>
        <w:rPr>
          <w:sz w:val="24"/>
          <w:szCs w:val="24"/>
          <w:color w:val="auto"/>
        </w:rPr>
      </w:pPr>
    </w:p>
    <w:p>
      <w:pPr>
        <w:ind w:left="1620"/>
        <w:spacing w:after="0"/>
        <w:rPr>
          <w:sz w:val="20"/>
          <w:szCs w:val="20"/>
          <w:color w:val="auto"/>
        </w:rPr>
      </w:pPr>
      <w:r>
        <w:rPr>
          <w:rFonts w:ascii="Arial" w:cs="Arial" w:eastAsia="Arial" w:hAnsi="Arial"/>
          <w:sz w:val="15"/>
          <w:szCs w:val="15"/>
          <w:color w:val="auto"/>
        </w:rPr>
        <w:t>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0" w:lineRule="exact"/>
        <w:rPr>
          <w:sz w:val="24"/>
          <w:szCs w:val="24"/>
          <w:color w:val="auto"/>
        </w:rPr>
      </w:pPr>
    </w:p>
    <w:p>
      <w:pPr>
        <w:sectPr>
          <w:pgSz w:w="11900" w:h="16838" w:orient="portrait"/>
          <w:cols w:equalWidth="0" w:num="3">
            <w:col w:w="4620" w:space="720"/>
            <w:col w:w="2200" w:space="720"/>
            <w:col w:w="2900"/>
          </w:cols>
          <w:pgMar w:left="320" w:top="1139" w:right="419" w:bottom="1440" w:gutter="0" w:footer="0" w:header="0"/>
          <w:type w:val="continuous"/>
        </w:sectPr>
      </w:pPr>
    </w:p>
    <w:p>
      <w:pPr>
        <w:ind w:left="4680"/>
        <w:spacing w:after="0"/>
        <w:rPr>
          <w:sz w:val="20"/>
          <w:szCs w:val="20"/>
          <w:color w:val="auto"/>
        </w:rPr>
      </w:pPr>
      <w:r>
        <w:rPr>
          <w:rFonts w:ascii="Arial" w:cs="Arial" w:eastAsia="Arial" w:hAnsi="Arial"/>
          <w:sz w:val="10"/>
          <w:szCs w:val="10"/>
          <w:color w:val="auto"/>
        </w:rPr>
        <w:t>______________________________</w:t>
      </w:r>
    </w:p>
    <w:p>
      <w:pPr>
        <w:sectPr>
          <w:pgSz w:w="11900" w:h="16838" w:orient="portrait"/>
          <w:cols w:equalWidth="0" w:num="1">
            <w:col w:w="11160"/>
          </w:cols>
          <w:pgMar w:left="320" w:top="1139" w:right="419" w:bottom="1440" w:gutter="0" w:footer="0" w:header="0"/>
          <w:type w:val="continuous"/>
        </w:sectPr>
      </w:pPr>
    </w:p>
    <w:p>
      <w:pPr>
        <w:spacing w:after="0" w:line="80"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35" w:lineRule="exact"/>
        <w:rPr>
          <w:sz w:val="24"/>
          <w:szCs w:val="24"/>
          <w:color w:val="auto"/>
        </w:rPr>
      </w:pPr>
    </w:p>
    <w:p>
      <w:pPr>
        <w:ind w:left="580" w:right="1640"/>
        <w:spacing w:after="0" w:line="255"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 Indicate by check mark if the registrant is not required to file reports pursuant to Section 13 or 15(d) of the Act. Yes o No </w:t>
      </w:r>
      <w:r>
        <w:rPr>
          <w:rFonts w:ascii="MS PGothic" w:cs="MS PGothic" w:eastAsia="MS PGothic" w:hAnsi="MS PGothic"/>
          <w:sz w:val="15"/>
          <w:szCs w:val="15"/>
          <w:color w:val="auto"/>
        </w:rPr>
        <w:t>☑</w:t>
      </w:r>
    </w:p>
    <w:p>
      <w:pPr>
        <w:spacing w:after="0" w:line="57" w:lineRule="exact"/>
        <w:rPr>
          <w:sz w:val="24"/>
          <w:szCs w:val="24"/>
          <w:color w:val="auto"/>
        </w:rPr>
      </w:pPr>
    </w:p>
    <w:p>
      <w:pPr>
        <w:ind w:right="100" w:firstLine="553"/>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440" w:firstLine="553"/>
        <w:spacing w:after="0" w:line="24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tabs>
          <w:tab w:leader="none" w:pos="1080" w:val="left"/>
        </w:tabs>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101" w:lineRule="exact"/>
        <w:rPr>
          <w:sz w:val="24"/>
          <w:szCs w:val="24"/>
          <w:color w:val="auto"/>
        </w:rPr>
      </w:pPr>
    </w:p>
    <w:p>
      <w:pPr>
        <w:ind w:firstLine="553"/>
        <w:spacing w:after="0" w:line="30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60"/>
          </w:cols>
          <w:pgMar w:left="320" w:top="1139" w:right="419" w:bottom="1440" w:gutter="0" w:footer="0" w:header="0"/>
          <w:type w:val="continuous"/>
        </w:sectPr>
      </w:pPr>
    </w:p>
    <w:p>
      <w:pPr>
        <w:spacing w:after="0" w:line="141" w:lineRule="exact"/>
        <w:rPr>
          <w:sz w:val="24"/>
          <w:szCs w:val="24"/>
          <w:color w:val="auto"/>
        </w:rPr>
      </w:pPr>
    </w:p>
    <w:p>
      <w:pPr>
        <w:ind w:left="17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6">
            <w:col w:w="3160" w:space="160"/>
            <w:col w:w="1500" w:space="720"/>
            <w:col w:w="1020" w:space="180"/>
            <w:col w:w="1260" w:space="720"/>
            <w:col w:w="1340" w:space="220"/>
            <w:col w:w="880"/>
          </w:cols>
          <w:pgMar w:left="320" w:top="1139" w:right="419" w:bottom="1440" w:gutter="0" w:footer="0" w:header="0"/>
          <w:type w:val="continuous"/>
        </w:sectPr>
      </w:pPr>
    </w:p>
    <w:p>
      <w:pPr>
        <w:spacing w:after="0" w:line="51"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49" w:lineRule="exact"/>
        <w:rPr>
          <w:sz w:val="24"/>
          <w:szCs w:val="24"/>
          <w:color w:val="auto"/>
        </w:rPr>
      </w:pPr>
    </w:p>
    <w:p>
      <w:pPr>
        <w:sectPr>
          <w:pgSz w:w="11900" w:h="16838" w:orient="portrait"/>
          <w:cols w:equalWidth="0" w:num="2">
            <w:col w:w="6560" w:space="180"/>
            <w:col w:w="4420"/>
          </w:cols>
          <w:pgMar w:left="320" w:top="1139" w:right="419" w:bottom="1440" w:gutter="0" w:footer="0" w:header="0"/>
          <w:type w:val="continuous"/>
        </w:sectPr>
      </w:pPr>
    </w:p>
    <w:p>
      <w:pPr>
        <w:spacing w:after="0" w:line="51"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65" w:lineRule="exact"/>
        <w:rPr>
          <w:sz w:val="24"/>
          <w:szCs w:val="24"/>
          <w:color w:val="auto"/>
        </w:rPr>
      </w:pPr>
    </w:p>
    <w:p>
      <w:pPr>
        <w:sectPr>
          <w:pgSz w:w="11900" w:h="16838" w:orient="portrait"/>
          <w:cols w:equalWidth="0" w:num="2">
            <w:col w:w="6560" w:space="180"/>
            <w:col w:w="4420"/>
          </w:cols>
          <w:pgMar w:left="320" w:top="1139" w:right="419" w:bottom="1440" w:gutter="0" w:footer="0" w:header="0"/>
          <w:type w:val="continuous"/>
        </w:sectPr>
      </w:pPr>
    </w:p>
    <w:p>
      <w:pPr>
        <w:ind w:right="20" w:firstLine="648"/>
        <w:spacing w:after="0" w:line="260"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ind w:left="220"/>
        <w:spacing w:after="0" w:line="196" w:lineRule="exact"/>
        <w:tabs>
          <w:tab w:leader="none" w:pos="81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45" w:lineRule="exact"/>
        <w:rPr>
          <w:sz w:val="24"/>
          <w:szCs w:val="24"/>
          <w:color w:val="auto"/>
        </w:rPr>
      </w:pPr>
    </w:p>
    <w:p>
      <w:pPr>
        <w:ind w:right="160" w:firstLine="648"/>
        <w:spacing w:after="0" w:line="252" w:lineRule="auto"/>
        <w:rPr>
          <w:sz w:val="20"/>
          <w:szCs w:val="20"/>
          <w:color w:val="auto"/>
        </w:rPr>
      </w:pPr>
      <w:r>
        <w:rPr>
          <w:rFonts w:ascii="Arial" w:cs="Arial" w:eastAsia="Arial" w:hAnsi="Arial"/>
          <w:sz w:val="15"/>
          <w:szCs w:val="15"/>
          <w:color w:val="auto"/>
        </w:rPr>
        <w:t>The aggregate market value of the ordinary shares held by non-affiliates of the registrant was approximately $2.76 billion on December 31, 2019 (the last business day of the registrant's most recently completed second fiscal quarter) based on the last reported sale price of the registrant's ordinary shares on the NASDAQ Global Select Market.</w:t>
      </w:r>
    </w:p>
    <w:p>
      <w:pPr>
        <w:spacing w:after="0" w:line="64" w:lineRule="exact"/>
        <w:rPr>
          <w:sz w:val="24"/>
          <w:szCs w:val="24"/>
          <w:color w:val="auto"/>
        </w:rPr>
      </w:pPr>
    </w:p>
    <w:p>
      <w:pPr>
        <w:ind w:left="660"/>
        <w:spacing w:after="0"/>
        <w:rPr>
          <w:sz w:val="20"/>
          <w:szCs w:val="20"/>
          <w:color w:val="auto"/>
        </w:rPr>
      </w:pPr>
      <w:r>
        <w:rPr>
          <w:rFonts w:ascii="Arial" w:cs="Arial" w:eastAsia="Arial" w:hAnsi="Arial"/>
          <w:sz w:val="15"/>
          <w:szCs w:val="15"/>
          <w:color w:val="auto"/>
        </w:rPr>
        <w:t>As of August 7, 2020, there were 25,885,823 Cimpress plc ordinary shares outstanding.</w:t>
      </w:r>
    </w:p>
    <w:p>
      <w:pPr>
        <w:spacing w:after="0" w:line="66"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02" w:lineRule="exact"/>
        <w:rPr>
          <w:sz w:val="24"/>
          <w:szCs w:val="24"/>
          <w:color w:val="auto"/>
        </w:rPr>
      </w:pPr>
    </w:p>
    <w:p>
      <w:pPr>
        <w:ind w:left="660"/>
        <w:spacing w:after="0"/>
        <w:rPr>
          <w:sz w:val="20"/>
          <w:szCs w:val="20"/>
          <w:color w:val="auto"/>
        </w:rPr>
      </w:pPr>
      <w:r>
        <w:rPr>
          <w:rFonts w:ascii="Arial" w:cs="Arial" w:eastAsia="Arial" w:hAnsi="Arial"/>
          <w:sz w:val="15"/>
          <w:szCs w:val="15"/>
          <w:color w:val="auto"/>
        </w:rPr>
        <w:t>The registrant intends to file a definitive proxy statement pursuant to Regulation 14A within 120 days of the end of the fiscal year ended June 30, 2020.</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Portions of such proxy statement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209550</wp:posOffset>
            </wp:positionV>
            <wp:extent cx="6386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619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123825</wp:posOffset>
            </wp:positionV>
            <wp:extent cx="6386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ectPr>
          <w:pgSz w:w="11900" w:h="16838" w:orient="portrait"/>
          <w:cols w:equalWidth="0" w:num="1">
            <w:col w:w="11160"/>
          </w:cols>
          <w:pgMar w:left="320" w:top="1139" w:right="4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Annual Report on Form 10-K is being filed pursuant to the Securities Exchange Act of 1934, as amended (the “Exchange Act”), by Cimpress plc, an Irish public limited company, as successor to Cimpress N.V., a Dutch public limited company. On December 3, 2019, Cimpress completed its previously announced cross-border merger pursuant to which Cimpress N.V. merged with and into Cimpress plc, with Cimpress plc surviving the merger (the "Irish Merger"). As a result of the Irish Merger, all of Cimpress N.V.'s outstanding ordinary shares, par value €0.01 per share, were exchanged on a one-for-one basis for newly issued ordinary shares, nominal value of €0.01 per share, of Cimpress plc, and Cimpress plc assumed all of Cimpress N.V.'s rights and obligations. This Report includes the full fiscal year ended June 30, 2020, including the activity of Cimpress N.V. before the Irish Merger.</w:t>
      </w:r>
    </w:p>
    <w:p>
      <w:pPr>
        <w:sectPr>
          <w:pgSz w:w="11900" w:h="16838" w:orient="portrait"/>
          <w:cols w:equalWidth="0" w:num="1">
            <w:col w:w="11220"/>
          </w:cols>
          <w:pgMar w:left="320" w:top="33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tcPr>
          <w:p>
            <w:pPr>
              <w:jc w:val="center"/>
              <w:ind w:right="230"/>
              <w:spacing w:after="0"/>
              <w:rPr>
                <w:sz w:val="20"/>
                <w:szCs w:val="20"/>
                <w:color w:val="auto"/>
              </w:rPr>
            </w:pPr>
            <w:r>
              <w:rPr>
                <w:rFonts w:ascii="Arial" w:cs="Arial" w:eastAsia="Arial" w:hAnsi="Arial"/>
                <w:sz w:val="18"/>
                <w:szCs w:val="18"/>
                <w:b w:val="1"/>
                <w:bCs w:val="1"/>
                <w:color w:val="auto"/>
              </w:rPr>
              <w:t>CIMPRESS PLC</w:t>
            </w:r>
          </w:p>
        </w:tc>
        <w:tc>
          <w:tcPr>
            <w:tcW w:w="6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ANNUAL REPORT ON FORM 10-K</w:t>
            </w:r>
          </w:p>
        </w:tc>
        <w:tc>
          <w:tcPr>
            <w:tcW w:w="660" w:type="dxa"/>
            <w:vAlign w:val="bottom"/>
          </w:tcPr>
          <w:p>
            <w:pPr>
              <w:spacing w:after="0"/>
              <w:rPr>
                <w:sz w:val="18"/>
                <w:szCs w:val="18"/>
                <w:color w:val="auto"/>
              </w:rPr>
            </w:pPr>
          </w:p>
        </w:tc>
      </w:tr>
      <w:tr>
        <w:trPr>
          <w:trHeight w:val="239"/>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For the Year Ended June 30, 2020</w:t>
            </w:r>
          </w:p>
        </w:tc>
        <w:tc>
          <w:tcPr>
            <w:tcW w:w="66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jc w:val="center"/>
              <w:ind w:right="23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r>
      <w:tr>
        <w:trPr>
          <w:trHeight w:val="398"/>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203"/>
        </w:trPr>
        <w:tc>
          <w:tcPr>
            <w:tcW w:w="94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Part I</w:t>
            </w:r>
          </w:p>
        </w:tc>
        <w:tc>
          <w:tcPr>
            <w:tcW w:w="96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1"/>
        </w:trPr>
        <w:tc>
          <w:tcPr>
            <w:tcW w:w="9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600" w:type="dxa"/>
            <w:vAlign w:val="bottom"/>
          </w:tcPr>
          <w:p>
            <w:pPr>
              <w:ind w:left="60"/>
              <w:spacing w:after="0"/>
              <w:rPr>
                <w:sz w:val="20"/>
                <w:szCs w:val="20"/>
                <w:color w:val="auto"/>
              </w:rPr>
            </w:pPr>
            <w:r>
              <w:rPr>
                <w:rFonts w:ascii="Arial" w:cs="Arial" w:eastAsia="Arial" w:hAnsi="Arial"/>
                <w:sz w:val="18"/>
                <w:szCs w:val="18"/>
                <w:color w:val="auto"/>
              </w:rPr>
              <w:t>Business</w:t>
            </w:r>
          </w:p>
        </w:tc>
        <w:tc>
          <w:tcPr>
            <w:tcW w:w="6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600" w:type="dxa"/>
            <w:vAlign w:val="bottom"/>
          </w:tcPr>
          <w:p>
            <w:pPr>
              <w:ind w:left="60"/>
              <w:spacing w:after="0"/>
              <w:rPr>
                <w:sz w:val="20"/>
                <w:szCs w:val="20"/>
                <w:color w:val="auto"/>
              </w:rPr>
            </w:pPr>
            <w:r>
              <w:rPr>
                <w:rFonts w:ascii="Arial" w:cs="Arial" w:eastAsia="Arial" w:hAnsi="Arial"/>
                <w:sz w:val="18"/>
                <w:szCs w:val="18"/>
                <w:color w:val="auto"/>
              </w:rPr>
              <w:t>Risk Factors</w:t>
            </w:r>
          </w:p>
        </w:tc>
        <w:tc>
          <w:tcPr>
            <w:tcW w:w="66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600" w:type="dxa"/>
            <w:vAlign w:val="bottom"/>
          </w:tcPr>
          <w:p>
            <w:pPr>
              <w:ind w:left="60"/>
              <w:spacing w:after="0"/>
              <w:rPr>
                <w:sz w:val="20"/>
                <w:szCs w:val="20"/>
                <w:color w:val="auto"/>
              </w:rPr>
            </w:pPr>
            <w:r>
              <w:rPr>
                <w:rFonts w:ascii="Arial" w:cs="Arial" w:eastAsia="Arial" w:hAnsi="Arial"/>
                <w:sz w:val="18"/>
                <w:szCs w:val="18"/>
                <w:color w:val="auto"/>
              </w:rPr>
              <w:t>Unresolved Staff Comments</w:t>
            </w: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600" w:type="dxa"/>
            <w:vAlign w:val="bottom"/>
          </w:tcPr>
          <w:p>
            <w:pPr>
              <w:ind w:left="60"/>
              <w:spacing w:after="0"/>
              <w:rPr>
                <w:sz w:val="20"/>
                <w:szCs w:val="20"/>
                <w:color w:val="auto"/>
              </w:rPr>
            </w:pPr>
            <w:r>
              <w:rPr>
                <w:rFonts w:ascii="Arial" w:cs="Arial" w:eastAsia="Arial" w:hAnsi="Arial"/>
                <w:sz w:val="18"/>
                <w:szCs w:val="18"/>
                <w:color w:val="auto"/>
              </w:rPr>
              <w:t>Properties</w:t>
            </w:r>
          </w:p>
        </w:tc>
        <w:tc>
          <w:tcPr>
            <w:tcW w:w="6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r>
      <w:tr>
        <w:trPr>
          <w:trHeight w:val="256"/>
        </w:trPr>
        <w:tc>
          <w:tcPr>
            <w:tcW w:w="9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60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600" w:type="dxa"/>
            <w:vAlign w:val="bottom"/>
          </w:tcPr>
          <w:p>
            <w:pPr>
              <w:ind w:left="60"/>
              <w:spacing w:after="0"/>
              <w:rPr>
                <w:sz w:val="20"/>
                <w:szCs w:val="20"/>
                <w:color w:val="auto"/>
              </w:rPr>
            </w:pPr>
            <w:r>
              <w:rPr>
                <w:rFonts w:ascii="Arial" w:cs="Arial" w:eastAsia="Arial" w:hAnsi="Arial"/>
                <w:sz w:val="18"/>
                <w:szCs w:val="18"/>
                <w:color w:val="auto"/>
              </w:rPr>
              <w:t>Mine Safety Disclosure</w:t>
            </w:r>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tc>
      </w:tr>
      <w:tr>
        <w:trPr>
          <w:trHeight w:val="540"/>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Part II</w:t>
            </w:r>
          </w:p>
        </w:tc>
        <w:tc>
          <w:tcPr>
            <w:tcW w:w="440" w:type="dxa"/>
            <w:vAlign w:val="bottom"/>
            <w:gridSpan w:val="3"/>
          </w:tcPr>
          <w:p>
            <w:pPr>
              <w:spacing w:after="0"/>
              <w:rPr>
                <w:sz w:val="24"/>
                <w:szCs w:val="24"/>
                <w:color w:val="auto"/>
              </w:rPr>
            </w:pP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1"/>
        </w:trPr>
        <w:tc>
          <w:tcPr>
            <w:tcW w:w="94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600" w:type="dxa"/>
            <w:vAlign w:val="bottom"/>
          </w:tcPr>
          <w:p>
            <w:pPr>
              <w:ind w:left="60"/>
              <w:spacing w:after="0"/>
              <w:rPr>
                <w:sz w:val="20"/>
                <w:szCs w:val="20"/>
                <w:color w:val="auto"/>
              </w:rPr>
            </w:pPr>
            <w:r>
              <w:rPr>
                <w:rFonts w:ascii="Arial" w:cs="Arial" w:eastAsia="Arial" w:hAnsi="Arial"/>
                <w:sz w:val="18"/>
                <w:szCs w:val="18"/>
                <w:color w:val="auto"/>
              </w:rPr>
              <w:t>Market for Registrant's Common Equity, Related Stockholder Matters and Issued Purchases of Equity Securities</w:t>
            </w:r>
          </w:p>
        </w:tc>
        <w:tc>
          <w:tcPr>
            <w:tcW w:w="6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tc>
      </w:tr>
      <w:tr>
        <w:trPr>
          <w:trHeight w:val="256"/>
        </w:trPr>
        <w:tc>
          <w:tcPr>
            <w:tcW w:w="9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600" w:type="dxa"/>
            <w:vAlign w:val="bottom"/>
          </w:tcPr>
          <w:p>
            <w:pPr>
              <w:ind w:left="60"/>
              <w:spacing w:after="0"/>
              <w:rPr>
                <w:sz w:val="20"/>
                <w:szCs w:val="20"/>
                <w:color w:val="auto"/>
              </w:rPr>
            </w:pPr>
            <w:r>
              <w:rPr>
                <w:rFonts w:ascii="Arial" w:cs="Arial" w:eastAsia="Arial" w:hAnsi="Arial"/>
                <w:sz w:val="18"/>
                <w:szCs w:val="18"/>
                <w:color w:val="auto"/>
              </w:rPr>
              <w:t>Selected Financial Data</w:t>
            </w:r>
          </w:p>
        </w:tc>
        <w:tc>
          <w:tcPr>
            <w:tcW w:w="6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60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60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600" w:type="dxa"/>
            <w:vAlign w:val="bottom"/>
          </w:tcPr>
          <w:p>
            <w:pPr>
              <w:ind w:left="60"/>
              <w:spacing w:after="0"/>
              <w:rPr>
                <w:sz w:val="20"/>
                <w:szCs w:val="20"/>
                <w:color w:val="auto"/>
              </w:rPr>
            </w:pPr>
            <w:r>
              <w:rPr>
                <w:rFonts w:ascii="Arial" w:cs="Arial" w:eastAsia="Arial" w:hAnsi="Arial"/>
                <w:sz w:val="18"/>
                <w:szCs w:val="18"/>
                <w:color w:val="auto"/>
              </w:rPr>
              <w:t>Financial Statements and Supplementary Data</w:t>
            </w:r>
          </w:p>
        </w:tc>
        <w:tc>
          <w:tcPr>
            <w:tcW w:w="66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56"/>
        </w:trPr>
        <w:tc>
          <w:tcPr>
            <w:tcW w:w="9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600" w:type="dxa"/>
            <w:vAlign w:val="bottom"/>
          </w:tcPr>
          <w:p>
            <w:pPr>
              <w:ind w:left="60"/>
              <w:spacing w:after="0"/>
              <w:rPr>
                <w:sz w:val="20"/>
                <w:szCs w:val="20"/>
                <w:color w:val="auto"/>
              </w:rPr>
            </w:pPr>
            <w:r>
              <w:rPr>
                <w:rFonts w:ascii="Arial" w:cs="Arial" w:eastAsia="Arial" w:hAnsi="Arial"/>
                <w:sz w:val="18"/>
                <w:szCs w:val="18"/>
                <w:color w:val="auto"/>
              </w:rPr>
              <w:t>Changes in and Disagreements with Accountants and Financial Disclosures</w:t>
            </w:r>
          </w:p>
        </w:tc>
        <w:tc>
          <w:tcPr>
            <w:tcW w:w="66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112</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60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66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112</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600" w:type="dxa"/>
            <w:vAlign w:val="bottom"/>
          </w:tcPr>
          <w:p>
            <w:pPr>
              <w:ind w:left="60"/>
              <w:spacing w:after="0"/>
              <w:rPr>
                <w:sz w:val="20"/>
                <w:szCs w:val="20"/>
                <w:color w:val="auto"/>
              </w:rPr>
            </w:pPr>
            <w:r>
              <w:rPr>
                <w:rFonts w:ascii="Arial" w:cs="Arial" w:eastAsia="Arial" w:hAnsi="Arial"/>
                <w:sz w:val="18"/>
                <w:szCs w:val="18"/>
                <w:color w:val="auto"/>
              </w:rPr>
              <w:t>Other Information</w:t>
            </w:r>
          </w:p>
        </w:tc>
        <w:tc>
          <w:tcPr>
            <w:tcW w:w="66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113</w:t>
              </w:r>
            </w:hyperlink>
          </w:p>
        </w:tc>
      </w:tr>
      <w:tr>
        <w:trPr>
          <w:trHeight w:val="540"/>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Part III</w:t>
            </w: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0"/>
        </w:trPr>
        <w:tc>
          <w:tcPr>
            <w:tcW w:w="9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600" w:type="dxa"/>
            <w:vAlign w:val="bottom"/>
          </w:tcPr>
          <w:p>
            <w:pPr>
              <w:ind w:left="60"/>
              <w:spacing w:after="0"/>
              <w:rPr>
                <w:sz w:val="20"/>
                <w:szCs w:val="20"/>
                <w:color w:val="auto"/>
              </w:rPr>
            </w:pPr>
            <w:r>
              <w:rPr>
                <w:rFonts w:ascii="Arial" w:cs="Arial" w:eastAsia="Arial" w:hAnsi="Arial"/>
                <w:sz w:val="18"/>
                <w:szCs w:val="18"/>
                <w:color w:val="auto"/>
              </w:rPr>
              <w:t>Directors, Executive Officers and Corporate Governance</w:t>
            </w:r>
          </w:p>
        </w:tc>
        <w:tc>
          <w:tcPr>
            <w:tcW w:w="66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113</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600" w:type="dxa"/>
            <w:vAlign w:val="bottom"/>
          </w:tcPr>
          <w:p>
            <w:pPr>
              <w:ind w:left="60"/>
              <w:spacing w:after="0"/>
              <w:rPr>
                <w:sz w:val="20"/>
                <w:szCs w:val="20"/>
                <w:color w:val="auto"/>
              </w:rPr>
            </w:pPr>
            <w:r>
              <w:rPr>
                <w:rFonts w:ascii="Arial" w:cs="Arial" w:eastAsia="Arial" w:hAnsi="Arial"/>
                <w:sz w:val="18"/>
                <w:szCs w:val="18"/>
                <w:color w:val="auto"/>
              </w:rPr>
              <w:t>Executive Compensation</w:t>
            </w:r>
          </w:p>
        </w:tc>
        <w:tc>
          <w:tcPr>
            <w:tcW w:w="66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113</w:t>
              </w:r>
            </w:hyperlink>
          </w:p>
        </w:tc>
      </w:tr>
      <w:tr>
        <w:trPr>
          <w:trHeight w:val="256"/>
        </w:trPr>
        <w:tc>
          <w:tcPr>
            <w:tcW w:w="9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600" w:type="dxa"/>
            <w:vAlign w:val="bottom"/>
          </w:tcPr>
          <w:p>
            <w:pPr>
              <w:ind w:left="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114</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600" w:type="dxa"/>
            <w:vAlign w:val="bottom"/>
          </w:tcPr>
          <w:p>
            <w:pPr>
              <w:ind w:left="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114</w:t>
              </w:r>
            </w:hyperlink>
          </w:p>
        </w:tc>
      </w:tr>
      <w:tr>
        <w:trPr>
          <w:trHeight w:val="256"/>
        </w:trPr>
        <w:tc>
          <w:tcPr>
            <w:tcW w:w="9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600" w:type="dxa"/>
            <w:vAlign w:val="bottom"/>
          </w:tcPr>
          <w:p>
            <w:pPr>
              <w:ind w:left="60"/>
              <w:spacing w:after="0"/>
              <w:rPr>
                <w:sz w:val="20"/>
                <w:szCs w:val="20"/>
                <w:color w:val="auto"/>
              </w:rPr>
            </w:pPr>
            <w:r>
              <w:rPr>
                <w:rFonts w:ascii="Arial" w:cs="Arial" w:eastAsia="Arial" w:hAnsi="Arial"/>
                <w:sz w:val="18"/>
                <w:szCs w:val="18"/>
                <w:color w:val="auto"/>
              </w:rPr>
              <w:t>Principal Accountant Fees and Services</w:t>
            </w:r>
          </w:p>
        </w:tc>
        <w:tc>
          <w:tcPr>
            <w:tcW w:w="66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114</w:t>
              </w:r>
            </w:hyperlink>
          </w:p>
        </w:tc>
      </w:tr>
      <w:tr>
        <w:trPr>
          <w:trHeight w:val="540"/>
        </w:trPr>
        <w:tc>
          <w:tcPr>
            <w:tcW w:w="94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9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560" w:type="dxa"/>
            <w:vAlign w:val="bottom"/>
            <w:gridSpan w:val="4"/>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90"/>
        </w:trPr>
        <w:tc>
          <w:tcPr>
            <w:tcW w:w="94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600" w:type="dxa"/>
            <w:vAlign w:val="bottom"/>
          </w:tcPr>
          <w:p>
            <w:pPr>
              <w:ind w:left="60"/>
              <w:spacing w:after="0"/>
              <w:rPr>
                <w:sz w:val="20"/>
                <w:szCs w:val="20"/>
                <w:color w:val="auto"/>
              </w:rPr>
            </w:pPr>
            <w:r>
              <w:rPr>
                <w:rFonts w:ascii="Arial" w:cs="Arial" w:eastAsia="Arial" w:hAnsi="Arial"/>
                <w:sz w:val="18"/>
                <w:szCs w:val="18"/>
                <w:color w:val="auto"/>
              </w:rPr>
              <w:t>Exhibits and Financial Statement Schedules</w:t>
            </w:r>
          </w:p>
        </w:tc>
        <w:tc>
          <w:tcPr>
            <w:tcW w:w="66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115</w:t>
              </w:r>
            </w:hyperlink>
          </w:p>
        </w:tc>
      </w:tr>
      <w:tr>
        <w:trPr>
          <w:trHeight w:val="257"/>
        </w:trPr>
        <w:tc>
          <w:tcPr>
            <w:tcW w:w="94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600" w:type="dxa"/>
            <w:vAlign w:val="bottom"/>
          </w:tcPr>
          <w:p>
            <w:pPr>
              <w:ind w:left="60"/>
              <w:spacing w:after="0"/>
              <w:rPr>
                <w:sz w:val="20"/>
                <w:szCs w:val="20"/>
                <w:color w:val="auto"/>
              </w:rPr>
            </w:pPr>
            <w:r>
              <w:rPr>
                <w:rFonts w:ascii="Arial" w:cs="Arial" w:eastAsia="Arial" w:hAnsi="Arial"/>
                <w:sz w:val="18"/>
                <w:szCs w:val="18"/>
                <w:color w:val="auto"/>
              </w:rPr>
              <w:t>Summary</w:t>
            </w:r>
          </w:p>
        </w:tc>
        <w:tc>
          <w:tcPr>
            <w:tcW w:w="660" w:type="dxa"/>
            <w:vAlign w:val="bottom"/>
          </w:tcPr>
          <w:p>
            <w:pPr>
              <w:jc w:val="right"/>
              <w:spacing w:after="0"/>
              <w:rPr>
                <w:rFonts w:ascii="Arial" w:cs="Arial" w:eastAsia="Arial" w:hAnsi="Arial"/>
                <w:sz w:val="18"/>
                <w:szCs w:val="18"/>
                <w:color w:val="auto"/>
              </w:rPr>
            </w:pPr>
            <w:hyperlink w:anchor="page120">
              <w:r>
                <w:rPr>
                  <w:rFonts w:ascii="Arial" w:cs="Arial" w:eastAsia="Arial" w:hAnsi="Arial"/>
                  <w:sz w:val="18"/>
                  <w:szCs w:val="18"/>
                  <w:color w:val="auto"/>
                </w:rPr>
                <w:t>117</w:t>
              </w:r>
            </w:hyperlink>
          </w:p>
        </w:tc>
      </w:tr>
      <w:tr>
        <w:trPr>
          <w:trHeight w:val="256"/>
        </w:trPr>
        <w:tc>
          <w:tcPr>
            <w:tcW w:w="940" w:type="dxa"/>
            <w:vAlign w:val="bottom"/>
            <w:gridSpan w:val="5"/>
          </w:tcPr>
          <w:p>
            <w:pPr>
              <w:spacing w:after="0"/>
              <w:rPr>
                <w:sz w:val="20"/>
                <w:szCs w:val="20"/>
                <w:color w:val="auto"/>
              </w:rPr>
            </w:pPr>
            <w:r>
              <w:rPr>
                <w:rFonts w:ascii="Arial" w:cs="Arial" w:eastAsia="Arial" w:hAnsi="Arial"/>
                <w:sz w:val="18"/>
                <w:szCs w:val="18"/>
                <w:color w:val="auto"/>
              </w:rPr>
              <w:t>Signatures</w:t>
            </w:r>
          </w:p>
        </w:tc>
        <w:tc>
          <w:tcPr>
            <w:tcW w:w="9600" w:type="dxa"/>
            <w:vAlign w:val="bottom"/>
          </w:tcPr>
          <w:p>
            <w:pPr>
              <w:spacing w:after="0"/>
              <w:rPr>
                <w:sz w:val="22"/>
                <w:szCs w:val="22"/>
                <w:color w:val="auto"/>
              </w:rPr>
            </w:pPr>
          </w:p>
        </w:tc>
        <w:tc>
          <w:tcPr>
            <w:tcW w:w="66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118</w:t>
              </w:r>
            </w:hyperlink>
          </w:p>
        </w:tc>
      </w:tr>
    </w:tbl>
    <w:p>
      <w:pPr>
        <w:sectPr>
          <w:pgSz w:w="11900" w:h="16838" w:orient="portrait"/>
          <w:cols w:equalWidth="0" w:num="1">
            <w:col w:w="11200"/>
          </w:cols>
          <w:pgMar w:left="360" w:top="52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PART 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&amp; Strategy</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Mass customization is a core element of the business model of each Cimpress business. Stan Davis, in his 1987 strategy manifesto “Future Perfect” coined the term mass customization to describe “generating an infinite variety of goods and services, uniquely tailored to customers”. In 2001, Tseng &amp; Jiao defined mass customization as “producing goods and services to meet individual customers’ needs with near mass production efficiency”. We discuss mass customization in more detail further below.</w:t>
      </w:r>
    </w:p>
    <w:p>
      <w:pPr>
        <w:spacing w:after="0" w:line="16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have grown substantially over the past decade, from $0.7 billion of revenue in fiscal year 2010 to $2.5 billion of revenue in fiscal year 2020, and as we have grown we have achieved important benefits of scale. However, we also believe it is critical for us to “stay small as we get big”. By this we mean that we need to serve customers and act and compete with focus, nimbleness and speed that is typical of smaller, entrepreneurial firms but often not typical of larger firms. This is because we face intense competition across all our businesses, and we must constantly and rapidly improve the value we deliver to customers. To stay small as we get big, our strategy calls for us to pursue a deeply decentralized organizational structure which delegates responsibility, authority and resources to the CEOs and managing directors of our various businesses.</w:t>
      </w:r>
    </w:p>
    <w:p>
      <w:pPr>
        <w:spacing w:after="0" w:line="16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Specifically, our strategy is to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6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This decentralized structure is beneficial in many ways. We believe that, in comparison to a more centralized structure, decentralization enables our businesses to be more customer focused, to make better decisions faster, to manage a holistic cross-functional value chain required to serve customers well, to be more agile, to be held more accountable for driving investment returns, and to understand where we are successful and where we are not.</w:t>
      </w:r>
    </w:p>
    <w:p>
      <w:pPr>
        <w:spacing w:after="0" w:line="163"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select few shared strategic capabilities into which we invest include our (1) mass customization platform ("MCP"), (2) talent infrastructure in India, (3) central procurement of large-scale capital equipment, shipping services, major categories of our raw materials and other categories of spend, and (4) peer-to-peer knowledge sharing among our businesses. We encourage each of our businesses to leverage these capabilities, but each business is free to choose whether or not to use these services. This optionality, we believe, creates healthy pressure on the central teams who provide such services to deliver compelling value to our businesses.</w:t>
      </w:r>
    </w:p>
    <w:p>
      <w:pPr>
        <w:spacing w:after="0" w:line="16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limit all other central activities to only those which must be performed centrally. Out of more than 12,900 employees we have fewer than 70 who work in central activities that fall into this category, which includes tax, treasury, internal audit, general counsel, corporate communications, consolidated reporting and compliance, investor relations, capital allocation and the functions of our CEO and CFO. We seek to avoid bureaucratic behavior in the corporate center; however we have developed, through experience, guardrails and accountability mechanisms in key areas of governance including cultural aspects such as a focus on customers or being socially responsible, as well as operational aspects such as the processes by which we set strategy and financial budgets and review performance, or the policies by which we ensure compliance with information privacy laws.</w:t>
      </w:r>
    </w:p>
    <w:p>
      <w:pPr>
        <w:spacing w:after="0" w:line="166"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This strategy has proven to be of great value to us during the recent COVID-19 crisis; we could not have reacted as proactively, effectively or quickly had we not put in place our strategy and organizational structure several years ago. Our decentralized model allowed our businesses to respond quickly to local restrictions, customer needs, and the health and safety of our team members, and leaders shared information and best practices across the group. Our shared strategic capabilities in procurement helped us to address supply chain risks and agree to extensions of supplier payments, the mass customization platform helped us to route orders between production facilities when needed due to temporary closures, and our central finance and legal teams secured the financial flexibility to navigate this period of uncertainty.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Uppermost Financial Objective</w:t>
      </w:r>
    </w:p>
    <w:p>
      <w:pPr>
        <w:spacing w:after="0" w:line="247" w:lineRule="exact"/>
        <w:rPr>
          <w:sz w:val="20"/>
          <w:szCs w:val="20"/>
          <w:color w:val="auto"/>
        </w:rPr>
      </w:pPr>
    </w:p>
    <w:p>
      <w:pPr>
        <w:ind w:right="520" w:firstLine="648"/>
        <w:spacing w:after="0" w:line="254" w:lineRule="auto"/>
        <w:rPr>
          <w:sz w:val="20"/>
          <w:szCs w:val="20"/>
          <w:color w:val="auto"/>
        </w:rPr>
      </w:pPr>
      <w:r>
        <w:rPr>
          <w:rFonts w:ascii="Arial" w:cs="Arial" w:eastAsia="Arial" w:hAnsi="Arial"/>
          <w:sz w:val="18"/>
          <w:szCs w:val="18"/>
          <w:color w:val="auto"/>
        </w:rPr>
        <w:t>Our uppermost financial objective is to maximize our intrinsic value per share. We define intrinsic value per share as (a) the unlevered free cash flow per diluted share that, in our best judgment, will occur between now and the long-term future, appropriately discounted to reflect our cost of capital, minus (b) net debt per diluted share. We define unlevered free cash flow as free cash flow plus interest expense related to borrowings.</w:t>
      </w:r>
    </w:p>
    <w:p>
      <w:pPr>
        <w:spacing w:after="0" w:line="20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This financial objective is inherently long-term in nature. Thus an explicit outcome of this is that we accept fluctuations in our financial metrics as we make investments that we believe will deliver attractive long-term returns on investment.</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ask investors and potential investors in Cimpress to understand our uppermost financial objective by which we endeavor to make all financially evaluated decisions. We often make decisions in service of this priority that could be considered non-optimal were they to be evaluated based on other financial criteria such as (but not limited to) near- and mid-term revenue, operating income, net income, EPS, adjusted EBITDA, and cash flow.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 Customization</w:t>
      </w:r>
    </w:p>
    <w:p>
      <w:pPr>
        <w:spacing w:after="0" w:line="220" w:lineRule="exact"/>
        <w:rPr>
          <w:sz w:val="20"/>
          <w:szCs w:val="20"/>
          <w:color w:val="auto"/>
        </w:rPr>
      </w:pPr>
    </w:p>
    <w:p>
      <w:pPr>
        <w:ind w:right="260" w:firstLine="648"/>
        <w:spacing w:after="0" w:line="253" w:lineRule="auto"/>
        <w:rPr>
          <w:sz w:val="20"/>
          <w:szCs w:val="20"/>
          <w:color w:val="auto"/>
        </w:rPr>
      </w:pPr>
      <w:r>
        <w:rPr>
          <w:rFonts w:ascii="Arial" w:cs="Arial" w:eastAsia="Arial" w:hAnsi="Arial"/>
          <w:sz w:val="18"/>
          <w:szCs w:val="18"/>
          <w:color w:val="auto"/>
        </w:rPr>
        <w:t>Mass customization is a business model that allows companies to deliver major improvements to customer value across a wide variety of customized product categories. Companies that master mass customization can automatically direct high volumes of orders into smaller streams of homogeneous orders that are then sent to specialized production lines. If done with structured data flows and the digitization of the configuration and manufacturing processes, setup costs become very small, and small volume orders become economically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96520</wp:posOffset>
            </wp:positionV>
            <wp:extent cx="2820035" cy="2228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2228850"/>
                    </a:xfrm>
                    <a:prstGeom prst="rect">
                      <a:avLst/>
                    </a:prstGeom>
                    <a:noFill/>
                  </pic:spPr>
                </pic:pic>
              </a:graphicData>
            </a:graphic>
          </wp:anchor>
        </w:drawing>
      </w:r>
    </w:p>
    <w:p>
      <w:pPr>
        <w:spacing w:after="0" w:line="158" w:lineRule="exact"/>
        <w:rPr>
          <w:sz w:val="20"/>
          <w:szCs w:val="20"/>
          <w:color w:val="auto"/>
        </w:rPr>
      </w:pPr>
    </w:p>
    <w:p>
      <w:pPr>
        <w:ind w:left="5780" w:right="120" w:firstLine="497"/>
        <w:spacing w:after="0" w:line="236" w:lineRule="auto"/>
        <w:rPr>
          <w:sz w:val="20"/>
          <w:szCs w:val="20"/>
          <w:color w:val="auto"/>
        </w:rPr>
      </w:pPr>
      <w:r>
        <w:rPr>
          <w:rFonts w:ascii="Arial" w:cs="Arial" w:eastAsia="Arial" w:hAnsi="Arial"/>
          <w:sz w:val="18"/>
          <w:szCs w:val="18"/>
          <w:color w:val="auto"/>
        </w:rPr>
        <w:t>The chart illustrates this concept. The horizontal axis represents the volume of production of a given product; the vertical axis represents the cost of producing one unit of that product. Traditionally, the only way to manufacture at a low unit cost was to produce a large volume of that product: mass-produced products fall in the lower right-hand corner of the chart. Custom-made products (i.e., those produced in small volumes for a very specific purpose) historically incurred very high unit costs: they fall in the upper left-hand side of the chart.</w:t>
      </w:r>
    </w:p>
    <w:p>
      <w:pPr>
        <w:spacing w:after="0" w:line="193" w:lineRule="exact"/>
        <w:rPr>
          <w:sz w:val="20"/>
          <w:szCs w:val="20"/>
          <w:color w:val="auto"/>
        </w:rPr>
      </w:pPr>
    </w:p>
    <w:p>
      <w:pPr>
        <w:ind w:left="5780" w:right="80"/>
        <w:spacing w:after="0" w:line="237" w:lineRule="auto"/>
        <w:rPr>
          <w:sz w:val="20"/>
          <w:szCs w:val="20"/>
          <w:color w:val="auto"/>
        </w:rPr>
      </w:pPr>
      <w:r>
        <w:rPr>
          <w:rFonts w:ascii="Arial" w:cs="Arial" w:eastAsia="Arial" w:hAnsi="Arial"/>
          <w:sz w:val="18"/>
          <w:szCs w:val="18"/>
          <w:color w:val="auto"/>
        </w:rPr>
        <w:t>Mass customization breaks this trade off, enabling low-volume, low-cost production of individually unique products. Very importantly, relative to traditional alternatives mass customization creates value in many ways, not just lower cost. Other advantages can include faster production, greater personal relevance, elimination of obsolete stock, better design, flexible shipping options, more product choice, and higher quality.</w:t>
      </w:r>
    </w:p>
    <w:p>
      <w:pPr>
        <w:spacing w:after="0" w:line="270"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Mass customization delivers a breakthrough in customer value particularly well in markets in which the worth of a physical product is inherently tied to a specific, unique use or application. For instance, there is limited value to a sign that is the same as is used by many other companies: the business owner needs to describe what is unique about his or her business. Likewise, a photo mug is more personally relevant if it shows pictures of someone’s own friends and family. Before mass customization, producing a high-quality custom product required high per-order setup costs, so it simply was not economical to produce a customized product in low quantities.</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believe that the business cards sold by our Vistaprint business provide a concrete example of the potential of our mass customization business model to deliver significant customer value and to develop strong profit franchises in large markets that were previously low growth and commoditized. Millions of very small customers (for example, home-based businesses) rely on Vistaprint to design and procure aesthetically pleasing, high-quality, quickly-delivered and low-priced business cards. The Vistaprint production operations for a typical order of 250 standard business cards in Europe and North America require less than 14 seconds of labor for all of pre-press, printing, cutting and packaging, versus an hour or more for traditional printers. Combined with advantages of scale in graphic design support services, purchasing of materials, our self-service online ordering,</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549" w:right="359" w:bottom="1440" w:gutter="0" w:footer="0" w:header="0"/>
        </w:sectPr>
      </w:pPr>
    </w:p>
    <w:bookmarkStart w:id="5" w:name="page6"/>
    <w:bookmarkEnd w:id="5"/>
    <w:p>
      <w:pPr>
        <w:ind w:right="20"/>
        <w:spacing w:after="0" w:line="251" w:lineRule="auto"/>
        <w:rPr>
          <w:sz w:val="20"/>
          <w:szCs w:val="20"/>
          <w:color w:val="auto"/>
        </w:rPr>
      </w:pPr>
      <w:r>
        <w:rPr>
          <w:rFonts w:ascii="Arial" w:cs="Arial" w:eastAsia="Arial" w:hAnsi="Arial"/>
          <w:sz w:val="18"/>
          <w:szCs w:val="18"/>
          <w:color w:val="auto"/>
        </w:rPr>
        <w:t>pre-press automation, auto-scheduling and automated manufacturing processes, we allow customers to design, configure, and procure business cards at a fraction of the cost of typical traditional printers with very consistent quality and delivery reliability. Customers have very extensive, easily configurable, customization options such as rounded corners, different shapes, specialty papers, “spot varnish”, reflective foil, folded cards, or different paper thicknesses. Achieving this type of product variety while also being very cost efficient took us almost two decades and requires massive volume, significant engineering investments and significant capital. Business cards is a mature market that, at the overall market level, has experienced continual declines over the past two decades. Yet, for Vistaprint, pre-pandemic, this remained a growing category and was highly profitable, and thus provides an example of the power of mass customization. Even though we do not expect many other products to reach this extreme level of automation, we do currently produce many other product categories (such as flyers, brochures, signage, mugs, calendars, pens, t-shirts, hats, embroidered soft goods, rubber stamps, photobooks, labels and holiday cards) via analogous methods whose volume and processes are well along the spectrum of mass customization relative to traditional suppliers and thus provide great customer value and a strong, profitable and growing revenue stream.</w:t>
      </w:r>
    </w:p>
    <w:p>
      <w:pPr>
        <w:spacing w:after="0" w:line="13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response to the pandemic, our mass customization capabilities allowed us to pivot our manufacturing to focus on and produce products that are more relevant to the current environment. We began producing products such as masks, face shields, and social distancing signage and introduced relevant product templates. We were able to do this without risk of inventory obsolescence on traditional products since our products are made to order. In addition, during periods in which our manufacturing plants needed to be temporarily closed, our mass customization platform allowed us to reroute orders to other manufacturing locations to ensure they were fulfilled timely.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Background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 Customization Opportunity</w:t>
      </w:r>
    </w:p>
    <w:p>
      <w:pPr>
        <w:spacing w:after="0" w:line="203" w:lineRule="exact"/>
        <w:rPr>
          <w:sz w:val="20"/>
          <w:szCs w:val="20"/>
          <w:color w:val="auto"/>
        </w:rPr>
      </w:pPr>
    </w:p>
    <w:p>
      <w:pPr>
        <w:ind w:right="340" w:firstLine="648"/>
        <w:spacing w:after="0" w:line="256" w:lineRule="auto"/>
        <w:rPr>
          <w:sz w:val="20"/>
          <w:szCs w:val="20"/>
          <w:color w:val="auto"/>
        </w:rPr>
      </w:pPr>
      <w:r>
        <w:rPr>
          <w:rFonts w:ascii="Arial" w:cs="Arial" w:eastAsia="Arial" w:hAnsi="Arial"/>
          <w:sz w:val="18"/>
          <w:szCs w:val="18"/>
          <w:color w:val="auto"/>
        </w:rPr>
        <w:t>Mass customization is not a market itself, but rather a business model that can be applied across global geographic markets, to customers from varying businesses (micro, small, medium and large), graphic designers, resellers, printers, teams, associations, groups, consumers and families, to which we offer products such as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102870</wp:posOffset>
            </wp:positionV>
            <wp:extent cx="4663440" cy="2091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Large traditional markets undergoing disruptive innovation</w:t>
      </w:r>
    </w:p>
    <w:p>
      <w:pPr>
        <w:spacing w:after="0" w:line="20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products, geographies and customer applications listed above constitute a large market opportunity that is highly fragmented. We believe that the vast majority of the markets to which mass customization could apply are still served by traditional business models that force customers either to produce in large quantities per order or to pay a high price per unit.</w:t>
      </w:r>
    </w:p>
    <w:p>
      <w:pPr>
        <w:spacing w:after="0" w:line="16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We believe that these large and fragmented markets are moving away from small traditional suppliers that employ job shop business models to fulfill a relatively small number of customer orders and toward businesses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355" w:right="359" w:bottom="1440" w:gutter="0" w:footer="0" w:header="0"/>
        </w:sectPr>
      </w:pPr>
    </w:p>
    <w:bookmarkStart w:id="6" w:name="page7"/>
    <w:bookmarkEnd w:id="6"/>
    <w:p>
      <w:pPr>
        <w:ind w:right="560"/>
        <w:spacing w:after="0" w:line="256" w:lineRule="auto"/>
        <w:rPr>
          <w:sz w:val="20"/>
          <w:szCs w:val="20"/>
          <w:color w:val="auto"/>
        </w:rPr>
      </w:pPr>
      <w:r>
        <w:rPr>
          <w:rFonts w:ascii="Arial" w:cs="Arial" w:eastAsia="Arial" w:hAnsi="Arial"/>
          <w:sz w:val="18"/>
          <w:szCs w:val="18"/>
          <w:color w:val="auto"/>
        </w:rPr>
        <w:t>such as those owned by Cimpress that aggregate a relatively large number of orders and fulfill them via a focused supply chain and production capabilities at relatively high volumes, thereby achieving the benefits of mass customization. We believe we are early in the process of what will be a multi-decade shift from job-shop business models to mass customization.</w:t>
      </w:r>
    </w:p>
    <w:p>
      <w:pPr>
        <w:spacing w:after="0" w:line="161"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Cimpress’ current revenue represents a very small fraction of this market opportunity. We believe that Cimpress and competitors who have built their business around a mass customization model are “disruptive innovators” to these large markets because we enable small-volume production of personalized, high-quality products at an affordable price. Disruptive innovation, a term coined by Harvard Business School professor Clayton Christensen, describes a process by which a product or service takes root initially in simple applications at the bottom of a market (such as free business cards for the most price sensitive of micro-businesses or low-quality white t-shirts) and then moves up market, eventually displacing established competitors (such as those in the markets mentioned above).</w:t>
      </w:r>
    </w:p>
    <w:p>
      <w:pPr>
        <w:spacing w:after="0" w:line="168"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We believe that a large opportunity exists for major markets to shift to a mass customization paradigm and, even though we are largely decentralized, the select few shared strategic capabilities into which we centrally invest provide significant scale-based competitive advantages for Cimpress.</w:t>
      </w:r>
    </w:p>
    <w:p>
      <w:pPr>
        <w:spacing w:after="0" w:line="161"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We believe this opportunity to deliver substantially better customer value and to therefore disrupt large traditional industries can translate into tremendous future opportunity for Cimpress. Until approximately our fiscal year 2012, we focused primarily on a narrow set of customers within the list above (highly price-sensitive and discount-driven micro businesses and consumers) with a limited product offering. Through acquisitions and via significant investments in our Vistaprint business, we have expanded the breadth and depth of our product offerings, extended our ability to serve our traditional customers and gained a capability to serve a vast range of customer types.</w:t>
      </w:r>
    </w:p>
    <w:p>
      <w:pPr>
        <w:spacing w:after="0" w:line="16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As we continue to evolve and grow Cimpress, our understanding of these markets and their relative attractiveness is also evolving. Our expansion of product breadth and depth as well as new geographic markets has significantly increased the size of our addressable market opportunity. We base our market size and attractiveness estimates upon considerable research and analysis; however, our estimates are only approximate. Despite the imprecise nature of our estimates, we believe that our understanding is directionally correct and that we operate in an enormous aggregate market with significant opportunity for Cimpress to grow as we continue delivering a differentiated and attractive value proposition to customers.</w:t>
      </w:r>
    </w:p>
    <w:p>
      <w:pPr>
        <w:spacing w:after="0" w:line="167"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Today, we believe that the revenue opportunity for low-to-medium order quantities (i.e., still within our focus of small-sized individual orders) in the four product categories below is over $100 billion annually in North America and Europe combined and at least $150 billion annually if you include other geographies and consumer products:</w:t>
      </w:r>
    </w:p>
    <w:p>
      <w:pPr>
        <w:spacing w:after="0" w:line="202" w:lineRule="exact"/>
        <w:rPr>
          <w:sz w:val="20"/>
          <w:szCs w:val="20"/>
          <w:color w:val="auto"/>
        </w:rPr>
      </w:pPr>
    </w:p>
    <w:p>
      <w:pPr>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Small format marketing materials such as business cards, flyers, leaflets, inserts, brochures and magazines. Businesses of all sizes are the main end users of short-and-medium run lengths (per order quantities below 2,500 units for business cards and below 20,000 units for other materials).</w:t>
      </w:r>
    </w:p>
    <w:p>
      <w:pPr>
        <w:spacing w:after="0" w:line="201"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format products such as banners, signs, tradeshow displays, and point-of-sale displays. Businesses of all sizes are the main end users of short-and-medium run lengths (less than 1,000 units).</w:t>
      </w:r>
    </w:p>
    <w:p>
      <w:pPr>
        <w:spacing w:after="0" w:line="197"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Promotional products, apparel and gifts including decorated apparel, bags and textiles, and hard goods such as pens, USB sticks, and drinkware. The end users of short-and-medium runs of these products range from businesses to teams, associations and groups, as well as consumers.</w:t>
      </w:r>
    </w:p>
    <w:p>
      <w:pPr>
        <w:spacing w:after="0" w:line="20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Packaging products, such as corrugated board packaging, folded cartons, bags and labels. Businesses are the primary end users for short-and-medium runs (below 10,000 units).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07"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Cimpress businesses include our organically developed Vistaprint business, plus previously independent businesses either that we have fully acquired or in which we have a majority equity stake. Prior to its acquisition, each of our acquired companies pursued business models that embodied the principles of mass customization. In other words, each provided a standardized set of products that could be configured and customized by customers, ordered in relatively low volumes, and produced via relatively standardized, homogeneous production processes, at prices lower than those charged by traditional producers.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30" w:right="339" w:bottom="1440" w:gutter="0" w:footer="0" w:header="0"/>
        </w:sectPr>
      </w:pPr>
    </w:p>
    <w:bookmarkStart w:id="7" w:name="page8"/>
    <w:bookmarkEnd w:id="7"/>
    <w:p>
      <w:pPr>
        <w:ind w:right="80" w:firstLine="648"/>
        <w:spacing w:after="0" w:line="252" w:lineRule="auto"/>
        <w:rPr>
          <w:sz w:val="20"/>
          <w:szCs w:val="20"/>
          <w:color w:val="auto"/>
        </w:rPr>
      </w:pPr>
      <w:r>
        <w:rPr>
          <w:rFonts w:ascii="Arial" w:cs="Arial" w:eastAsia="Arial" w:hAnsi="Arial"/>
          <w:sz w:val="18"/>
          <w:szCs w:val="18"/>
          <w:color w:val="auto"/>
        </w:rPr>
        <w:t>Our businesses collectively operate across North America and Europe, as well as in India, Japan, Brazil, China and Australia. Their websites typically offer a broad assortment of tools and features allowing customers to create a product design or upload their own complete design and place an order, either on a completely self-service basis or with varying levels of assistance. Some of our businesses also use offline techniques to acquire customers (e.g., mail order, telesales). The combined product assortment across our businesses is extensive, including offerings in the following product categories: business cards, marketing materials such as flyers and postcards, digital and marketing services, writing instruments, signage, canvas-print wall décor, decorated apparel, promotional products and gifts, packaging, textiles and magazines and catalogs. Also, we have responded to customer needs with new pandemic-related design templates for existing products as well as launching new products like face masks.</w:t>
      </w:r>
    </w:p>
    <w:p>
      <w:pPr>
        <w:spacing w:after="0" w:line="16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majority of our revenue is driven by standardized processes and enabled by software. We endeavor to design these processes and technologies to readily scale as the number of orders received per day increases. In particular, the more individual jobs we receive in a given time period, the more efficiently we can sort and route jobs with homogeneous production processes to given nodes of our internal production systems or of our third-party supply chain. This sortation and subsequent process automation improves production efficiency. We believe that our strategy of systematizing our service and production systems enables us to deliver value to customers much more effectively than traditional competitors.</w:t>
      </w:r>
    </w:p>
    <w:p>
      <w:pPr>
        <w:spacing w:after="0" w:line="16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businesses operate production facilities throughout the geographies listed above. We also work extensively with several hundred external fulfillers located across the globe. We believe that the improvements we have made and the future improvements we intend to make in software technologies that support the design, sortation, scheduling, production and delivery processes provide us with significant competitive advantage. In many cases our businesses can produce and ship an order the same day they receive it. Our supply chain systems and processes seek to drive reduced inventory and working capital as well as faster delivery to customers. In certain of our company-owned manufacturing facilities, software schedules the near-simultaneous production of different customized products that have been ordered by the same customer, allowing us to produce and deliver multi-part orders quickly and efficiently.</w:t>
      </w:r>
    </w:p>
    <w:p>
      <w:pPr>
        <w:spacing w:after="0" w:line="16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believe that the potential for scale-based advantages is not limited to focused, automated production lines. Other advantages include the ability to systematically and automatically sort through the voluminous “long tail” of diverse and uncommon orders in order to group them into more homogeneous categories, and to route them to production nodes that are specialized for that category of operations and/or which are geographically proximate to the customer. In such cases, even though the daily production volume of a given production node is small in comparison to our highest-volume production lines, the homogeneity and volume we are able to achieve is nonetheless significant relative to traditional suppliers of the long tail product in question; thus, our relative efficiency gains remain substantial. For this type of long-tail production, we rely heavily on third-party fulfillment partnerships, which allow us to offer a very diverse set of products. We acquired most of our capabilities in this area via our investments in Exaprint, Printdeal, Pixartprinting and WIRmachenDRUCK. For instance, the product assortment of each of these four businesses is measured in the tens of thousands, versus Vistaprint where product assortment is dramatically smaller on a relative basis. This deep and broad product offering is important to many customers.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businesses are currently organized into the following five reportable segments:</w:t>
      </w:r>
    </w:p>
    <w:p>
      <w:pPr>
        <w:spacing w:after="0" w:line="1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Vistaprint</w:t>
      </w:r>
      <w:r>
        <w:rPr>
          <w:rFonts w:ascii="Arial" w:cs="Arial" w:eastAsia="Arial" w:hAnsi="Arial"/>
          <w:sz w:val="17"/>
          <w:szCs w:val="17"/>
          <w:color w:val="auto"/>
        </w:rPr>
        <w:t>:</w:t>
      </w:r>
    </w:p>
    <w:p>
      <w:pPr>
        <w:spacing w:after="0" w:line="193" w:lineRule="exact"/>
        <w:rPr>
          <w:sz w:val="20"/>
          <w:szCs w:val="20"/>
          <w:color w:val="auto"/>
        </w:rPr>
      </w:pPr>
    </w:p>
    <w:p>
      <w:pPr>
        <w:ind w:left="4520" w:right="840"/>
        <w:spacing w:after="0" w:line="253" w:lineRule="auto"/>
        <w:rPr>
          <w:sz w:val="20"/>
          <w:szCs w:val="20"/>
          <w:color w:val="auto"/>
        </w:rPr>
      </w:pPr>
      <w:r>
        <w:rPr>
          <w:rFonts w:ascii="Arial" w:cs="Arial" w:eastAsia="Arial" w:hAnsi="Arial"/>
          <w:sz w:val="17"/>
          <w:szCs w:val="17"/>
          <w:color w:val="auto"/>
        </w:rPr>
        <w:t>Consists of the operations of our Vistaprint-branded websites in North America, Europe, Australia, New Zealand, India and Japan. This business also includes our Webs business, which is managed with the Vistaprint Digital business, and our Vistaprint Corporate Solutions business which serves medium-sized businesses and large corporations, as well as a legacy revenue stream with retail partners and franchise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-621030</wp:posOffset>
            </wp:positionV>
            <wp:extent cx="20745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4545" cy="445770"/>
                    </a:xfrm>
                    <a:prstGeom prst="rect">
                      <a:avLst/>
                    </a:prstGeom>
                    <a:noFill/>
                  </pic:spPr>
                </pic:pic>
              </a:graphicData>
            </a:graphic>
          </wp:anchor>
        </w:drawing>
      </w:r>
    </w:p>
    <w:p>
      <w:pPr>
        <w:ind w:left="660" w:right="280"/>
        <w:spacing w:after="0" w:line="261" w:lineRule="auto"/>
        <w:rPr>
          <w:sz w:val="20"/>
          <w:szCs w:val="20"/>
          <w:color w:val="auto"/>
        </w:rPr>
      </w:pPr>
      <w:r>
        <w:rPr>
          <w:rFonts w:ascii="Arial" w:cs="Arial" w:eastAsia="Arial" w:hAnsi="Arial"/>
          <w:sz w:val="18"/>
          <w:szCs w:val="18"/>
          <w:color w:val="auto"/>
        </w:rPr>
        <w:t>Our Vistaprint business helps more than 15 million micro businesses (companies with fewer than 10 employees) create attractive, professional-quality marketing products at affordable prices and at low volumes.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30" w:right="339" w:bottom="1440" w:gutter="0" w:footer="0" w:header="0"/>
        </w:sectPr>
      </w:pPr>
    </w:p>
    <w:bookmarkStart w:id="8" w:name="page9"/>
    <w:bookmarkEnd w:id="8"/>
    <w:p>
      <w:pPr>
        <w:ind w:left="8"/>
        <w:spacing w:after="0"/>
        <w:rPr>
          <w:sz w:val="20"/>
          <w:szCs w:val="20"/>
          <w:color w:val="auto"/>
        </w:rPr>
      </w:pPr>
      <w:r>
        <w:rPr>
          <w:rFonts w:ascii="Arial" w:cs="Arial" w:eastAsia="Arial" w:hAnsi="Arial"/>
          <w:sz w:val="18"/>
          <w:szCs w:val="18"/>
          <w:b w:val="1"/>
          <w:bCs w:val="1"/>
          <w:color w:val="auto"/>
        </w:rPr>
        <w:t>Upload &amp; Print:</w:t>
      </w:r>
    </w:p>
    <w:p>
      <w:pPr>
        <w:spacing w:after="0" w:line="207" w:lineRule="exact"/>
        <w:rPr>
          <w:sz w:val="20"/>
          <w:szCs w:val="20"/>
          <w:color w:val="auto"/>
        </w:rPr>
      </w:pPr>
    </w:p>
    <w:p>
      <w:pPr>
        <w:ind w:left="328" w:right="100"/>
        <w:spacing w:after="0" w:line="254" w:lineRule="auto"/>
        <w:rPr>
          <w:sz w:val="20"/>
          <w:szCs w:val="20"/>
          <w:color w:val="auto"/>
        </w:rPr>
      </w:pPr>
      <w:r>
        <w:rPr>
          <w:rFonts w:ascii="Arial" w:cs="Arial" w:eastAsia="Arial" w:hAnsi="Arial"/>
          <w:sz w:val="18"/>
          <w:szCs w:val="18"/>
          <w:color w:val="auto"/>
        </w:rPr>
        <w:t>In order to increase customer focus, nimbleness and competitiveness, in fiscal year 2019 we eliminated a management oversight layer and created two sub-groups of upload and print businesses. We refer to these reportable segments as PrintBrothers and The Print Group, each of which focus on serving graphic professionals: local printers, print resellers, graphic artists, advertising agencies and other customers with professional desktop publishing skill sets.</w:t>
      </w:r>
    </w:p>
    <w:p>
      <w:pPr>
        <w:spacing w:after="0" w:line="141" w:lineRule="exact"/>
        <w:rPr>
          <w:sz w:val="20"/>
          <w:szCs w:val="20"/>
          <w:color w:val="auto"/>
        </w:rPr>
      </w:pPr>
    </w:p>
    <w:p>
      <w:pPr>
        <w:ind w:left="328" w:hanging="328"/>
        <w:spacing w:after="0"/>
        <w:tabs>
          <w:tab w:leader="none" w:pos="3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PrintBrothers: </w:t>
      </w:r>
      <w:r>
        <w:rPr>
          <w:rFonts w:ascii="Arial" w:cs="Arial" w:eastAsia="Arial" w:hAnsi="Arial"/>
          <w:sz w:val="18"/>
          <w:szCs w:val="18"/>
          <w:color w:val="auto"/>
        </w:rPr>
        <w:t>Consists of our druck.at, Printdeal, and WIRmachenDRUCK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191770</wp:posOffset>
            </wp:positionV>
            <wp:extent cx="3771900" cy="1045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190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8" w:hanging="328"/>
        <w:spacing w:after="0"/>
        <w:tabs>
          <w:tab w:leader="none" w:pos="32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Print Group: </w:t>
      </w:r>
      <w:r>
        <w:rPr>
          <w:rFonts w:ascii="Arial" w:cs="Arial" w:eastAsia="Arial" w:hAnsi="Arial"/>
          <w:sz w:val="18"/>
          <w:szCs w:val="18"/>
          <w:color w:val="auto"/>
        </w:rPr>
        <w:t>Consists of our Easyflyer, Exaprint, Pixartprinting, and Tradeprint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1457325</wp:posOffset>
            </wp:positionH>
            <wp:positionV relativeFrom="paragraph">
              <wp:posOffset>191770</wp:posOffset>
            </wp:positionV>
            <wp:extent cx="4200525"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05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National Pen</w:t>
      </w:r>
      <w:r>
        <w:rPr>
          <w:rFonts w:ascii="Arial" w:cs="Arial" w:eastAsia="Arial" w:hAnsi="Arial"/>
          <w:sz w:val="17"/>
          <w:szCs w:val="17"/>
          <w:color w:val="auto"/>
        </w:rPr>
        <w:t>:</w:t>
      </w:r>
    </w:p>
    <w:p>
      <w:pPr>
        <w:spacing w:after="0" w:line="193" w:lineRule="exact"/>
        <w:rPr>
          <w:sz w:val="20"/>
          <w:szCs w:val="20"/>
          <w:color w:val="auto"/>
        </w:rPr>
      </w:pPr>
    </w:p>
    <w:p>
      <w:pPr>
        <w:ind w:left="5268" w:right="1000"/>
        <w:spacing w:after="0" w:line="257" w:lineRule="auto"/>
        <w:rPr>
          <w:sz w:val="20"/>
          <w:szCs w:val="20"/>
          <w:color w:val="auto"/>
        </w:rPr>
      </w:pPr>
      <w:r>
        <w:rPr>
          <w:rFonts w:ascii="Arial" w:cs="Arial" w:eastAsia="Arial" w:hAnsi="Arial"/>
          <w:sz w:val="17"/>
          <w:szCs w:val="17"/>
          <w:color w:val="auto"/>
        </w:rPr>
        <w:t>Consists of our National Pen business and a few smaller brands operated by National Pen that are focused on customized writing instruments and promotional products, apparel and gifts for small- and medium-sized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-419100</wp:posOffset>
            </wp:positionV>
            <wp:extent cx="268287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2875" cy="480060"/>
                    </a:xfrm>
                    <a:prstGeom prst="rect">
                      <a:avLst/>
                    </a:prstGeom>
                    <a:noFill/>
                  </pic:spPr>
                </pic:pic>
              </a:graphicData>
            </a:graphic>
          </wp:anchor>
        </w:drawing>
      </w:r>
    </w:p>
    <w:p>
      <w:pPr>
        <w:spacing w:after="0" w:line="398" w:lineRule="exact"/>
        <w:rPr>
          <w:sz w:val="20"/>
          <w:szCs w:val="20"/>
          <w:color w:val="auto"/>
        </w:rPr>
      </w:pPr>
    </w:p>
    <w:p>
      <w:pPr>
        <w:ind w:left="328" w:right="160"/>
        <w:spacing w:after="0" w:line="261" w:lineRule="auto"/>
        <w:rPr>
          <w:sz w:val="20"/>
          <w:szCs w:val="20"/>
          <w:color w:val="auto"/>
        </w:rPr>
      </w:pPr>
      <w:r>
        <w:rPr>
          <w:rFonts w:ascii="Arial" w:cs="Arial" w:eastAsia="Arial" w:hAnsi="Arial"/>
          <w:sz w:val="18"/>
          <w:szCs w:val="18"/>
          <w:color w:val="auto"/>
        </w:rPr>
        <w:t>National Pen serves more than a million small businesses annually across more than 20 countries. Marketing methods are typically direct mail and telesales, as well as a small yet growing e-commerce site.</w:t>
      </w:r>
    </w:p>
    <w:p>
      <w:pPr>
        <w:spacing w:after="0" w:line="243" w:lineRule="exact"/>
        <w:rPr>
          <w:sz w:val="20"/>
          <w:szCs w:val="20"/>
          <w:color w:val="auto"/>
        </w:rPr>
      </w:pPr>
    </w:p>
    <w:p>
      <w:pPr>
        <w:ind w:left="328" w:hanging="328"/>
        <w:spacing w:after="0"/>
        <w:tabs>
          <w:tab w:leader="none" w:pos="32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All Other Businesses</w:t>
      </w:r>
      <w:r>
        <w:rPr>
          <w:rFonts w:ascii="Arial" w:cs="Arial" w:eastAsia="Arial" w:hAnsi="Arial"/>
          <w:sz w:val="18"/>
          <w:szCs w:val="18"/>
          <w:color w:val="auto"/>
        </w:rPr>
        <w:t>:</w:t>
      </w:r>
    </w:p>
    <w:p>
      <w:pPr>
        <w:spacing w:after="0" w:line="139" w:lineRule="exact"/>
        <w:rPr>
          <w:rFonts w:ascii="Arial" w:cs="Arial" w:eastAsia="Arial" w:hAnsi="Arial"/>
          <w:sz w:val="18"/>
          <w:szCs w:val="18"/>
          <w:b w:val="1"/>
          <w:bCs w:val="1"/>
          <w:color w:val="auto"/>
        </w:rPr>
      </w:pPr>
    </w:p>
    <w:p>
      <w:pPr>
        <w:ind w:left="328"/>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With the exception of BuildASign, which is a larger and profitable business, this segment consists of small, early-stage businesses by which Cimpress is expanding to new markets. These businesses have been combined into one reportable segment based on materiality. The early-stage businesses in this segment are subject to high degrees of risk, and we expect that each of their business models will rapidly evolve in function of future trials and entrepreneurial pivoting. Our All Other Businesses reportable segment includes the following:</w:t>
      </w:r>
    </w:p>
    <w:p>
      <w:pPr>
        <w:spacing w:after="0" w:line="20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508" w:right="339" w:bottom="1440" w:gutter="0" w:footer="0" w:header="0"/>
        </w:sectPr>
      </w:pPr>
    </w:p>
    <w:bookmarkStart w:id="9" w:name="page10"/>
    <w:bookmarkEnd w:id="9"/>
    <w:p>
      <w:pPr>
        <w:ind w:left="4020" w:right="4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1159510</wp:posOffset>
            </wp:positionH>
            <wp:positionV relativeFrom="page">
              <wp:posOffset>328930</wp:posOffset>
            </wp:positionV>
            <wp:extent cx="128587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86080"/>
                    </a:xfrm>
                    <a:prstGeom prst="rect">
                      <a:avLst/>
                    </a:prstGeom>
                    <a:noFill/>
                  </pic:spPr>
                </pic:pic>
              </a:graphicData>
            </a:graphic>
          </wp:anchor>
        </w:drawing>
        <w:t>BuildASign is an internet-based provider of canvas-print wall décor, business signage and other large-format printed products, based in 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91440</wp:posOffset>
            </wp:positionV>
            <wp:extent cx="72834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342900"/>
                    </a:xfrm>
                    <a:prstGeom prst="rect">
                      <a:avLst/>
                    </a:prstGeom>
                    <a:noFill/>
                  </pic:spPr>
                </pic:pic>
              </a:graphicData>
            </a:graphic>
          </wp:anchor>
        </w:drawing>
      </w:r>
    </w:p>
    <w:p>
      <w:pPr>
        <w:spacing w:after="0" w:line="217" w:lineRule="exact"/>
        <w:rPr>
          <w:sz w:val="20"/>
          <w:szCs w:val="20"/>
          <w:color w:val="auto"/>
        </w:rPr>
      </w:pPr>
    </w:p>
    <w:p>
      <w:pPr>
        <w:ind w:left="4020" w:right="720"/>
        <w:spacing w:after="0" w:line="246" w:lineRule="auto"/>
        <w:rPr>
          <w:sz w:val="20"/>
          <w:szCs w:val="20"/>
          <w:color w:val="auto"/>
        </w:rPr>
      </w:pPr>
      <w:r>
        <w:rPr>
          <w:rFonts w:ascii="Arial" w:cs="Arial" w:eastAsia="Arial" w:hAnsi="Arial"/>
          <w:sz w:val="18"/>
          <w:szCs w:val="18"/>
          <w:color w:val="auto"/>
        </w:rPr>
        <w:t>As the online printing leader in Brazil, Printi offers a superior customer experience with transparent and attractive pricing, reliable service and quality.</w:t>
      </w:r>
    </w:p>
    <w:p>
      <w:pPr>
        <w:spacing w:after="0" w:line="129" w:lineRule="exact"/>
        <w:rPr>
          <w:sz w:val="20"/>
          <w:szCs w:val="20"/>
          <w:color w:val="auto"/>
        </w:rPr>
      </w:pPr>
    </w:p>
    <w:p>
      <w:pPr>
        <w:ind w:left="4020" w:right="540"/>
        <w:spacing w:after="0" w:line="238" w:lineRule="auto"/>
        <w:rPr>
          <w:sz w:val="20"/>
          <w:szCs w:val="20"/>
          <w:color w:val="auto"/>
        </w:rPr>
      </w:pPr>
      <w:r>
        <w:rPr>
          <w:rFonts w:ascii="Arial" w:cs="Arial" w:eastAsia="Arial" w:hAnsi="Arial"/>
          <w:sz w:val="18"/>
          <w:szCs w:val="18"/>
          <w:color w:val="auto"/>
        </w:rPr>
        <w:t>YSD is a startup operation that provides end-to-end mass customization solutions to brands and intellectual property owners in China, supporting multiple channels including retail stores, websites, WeChat and e-commerce platforms to enhance brand awareness and competitiveness, and develop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-468630</wp:posOffset>
            </wp:positionV>
            <wp:extent cx="133731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310" cy="4114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Procurement</w:t>
      </w:r>
    </w:p>
    <w:p>
      <w:pPr>
        <w:spacing w:after="0" w:line="20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Given the scale of purchasing that happens across Cimpress’ businesses, there is significant value to coordinating our negotiations and purchasing to gain the benefit of scale. Our central procurement team negotiates and manages Cimpress-wide contracts for large-scale capital equipment, shipping services and major categories of raw materials (e.g., paper, plates, ink). The Cimpress procurement team is also available on an as-requested basis to help with procurement improvements, tools and approaches across other aspects of our businesses’ purchases.</w:t>
      </w:r>
    </w:p>
    <w:p>
      <w:pPr>
        <w:spacing w:after="0" w:line="16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focused on achieving the lowest total cost in our strategic sourcing efforts by concentrating on quality, logistics, technology and cost, while also striving to use responsible sourcing practices within our supply chain. Our efforts include the procurement of high-quality materials and equipment that meet our strict specifications at a low total cost across a growing number of manufacturing locations, with an increasing focus on supplier compliance with our sustainable paper procurement policy as well as our Supplier Code of Conduct. Additionally, we work to develop and implement logistics, warehousing, and outbound shipping strategies to provide a balance of low-cost material availability while limiting our inventory exposure.</w:t>
      </w:r>
    </w:p>
    <w:p>
      <w:pPr>
        <w:spacing w:after="0" w:line="167"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As mentioned, the central procurement team played a crucial role when impacts of the pandemic became prevalent in March 2020. The team partnered with Cimpress suppliers to delay more than $30 million of supplier and lease payments previously due before June 30, 2020. These delays were important given our typical working capital trends, as we would have otherwise experienced cash outflows from working capital in the fourth quarter as revenue declined relative to the last fiscal year.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0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businesses typically rely on proprietary technology to attract and retain our customers, to enable customers to create graphic designs and place orders on our websites, and to aggregate and produce multiple orders in standardized, scalable processes. Technology is core to our competitive advantage, as without it our businesses would not be able to produce custom orders in small quantities while achieving the economics that are more analogous to mass-produced items.</w:t>
      </w:r>
    </w:p>
    <w:p>
      <w:pPr>
        <w:spacing w:after="0" w:line="16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building and using our MCP which is a cloud-based collection of software services, APIs, web applications and related technology offerings that can be leveraged independently or together by our businesses and third parties to perform common tasks that are important to mass customization. Cimpress businesses, and increasingly third-party fulfillers to our various businesses, can leverage different combinations of MCP services, depending on what capabilities they need to complement their business-specific technology. MCP is a multi-year investment that remains in its relatively early stages; however, many of our businesses are leveraging some of the technologies that have already been developed and/or shared by other businesses. The capabilities that are available in the MCP today include customer-facing technologies, such as those that enable customers to visualize their designs on various products, as well as manufacturing, supply chain, and logistics technologies that automate various stages of the production and delivery of a product to a customer. The benefits of the MCP include improved speed to market for new product introduction, reduction in fulfillment costs, improvement of product delivery or geographic expansion, improved site experience, automating manual tasks and avoiding IT expense (through a reduction in expenses related to maintaining/licensing software). Over time, we believe we can generate significant customer and shareholder value from increased specialization of production facilities, aggregated scale from multiple businesses, increased product offerings and shared technology development costs.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11" w:right="339" w:bottom="1440" w:gutter="0" w:footer="0" w:header="0"/>
        </w:sectPr>
      </w:pPr>
    </w:p>
    <w:bookmarkStart w:id="10" w:name="page11"/>
    <w:bookmarkEnd w:id="10"/>
    <w:p>
      <w:pPr>
        <w:ind w:firstLine="648"/>
        <w:spacing w:after="0" w:line="253" w:lineRule="auto"/>
        <w:rPr>
          <w:sz w:val="20"/>
          <w:szCs w:val="20"/>
          <w:color w:val="auto"/>
        </w:rPr>
      </w:pPr>
      <w:r>
        <w:rPr>
          <w:rFonts w:ascii="Arial" w:cs="Arial" w:eastAsia="Arial" w:hAnsi="Arial"/>
          <w:sz w:val="18"/>
          <w:szCs w:val="18"/>
          <w:color w:val="auto"/>
        </w:rPr>
        <w:t>We intend to continue developing and enhancing our MCP-based customer-facing and manufacturing, supply chain and logistics technologies and processes. We develop our MCP technology centrally and we also have software and production engineering capabilities in each of our businesses. Our businesses are constantly seeking to strengthen our manufacturing and supply chain capabilities through engineering improvements in areas like automation, lean manufacturing, choice of equipment, product manufacturability, materials science, process control and color control.</w:t>
      </w:r>
    </w:p>
    <w:p>
      <w:pPr>
        <w:spacing w:after="0" w:line="16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Each of our businesses uses a mix of proprietary and third-party technology that supports the specific needs of that business. Their technology intensity ranges from significant to light, depending on their specific needs. Over the past few years, an increasing number of our businesses have begun to modernize and modularize their business-specific technology to enable them to launch more new products faster, provide a better customer experience, more easily connect to our MCP technologies, and leverage third-party technologies where we do not need to bear the cost of developing and maintaining proprietary technologies. For example, our businesses are increasingly using third-party software for capabilities such as shopping carts or customer reviews, which are areas that we can benefit from providing a standard e-commerce experience, and are better leveraging engineering resources to focus on technology development from which we derive competitive advantage.</w:t>
      </w:r>
    </w:p>
    <w:p>
      <w:pPr>
        <w:spacing w:after="0" w:line="16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our central Cimpress Technology team and in an increasing number of our decentralized businesses, we have adopted an agile, micro-services-based approach to technology development that enables multiple businesses or use cases to leverage this API technology regardless of where it was originally developed. We believe this development approach can help our businesses serve customers and scale operations more rapidly than could have been done as an individual business outside Cimpress.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Privacy and Security</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Each Cimpress business is responsible for ensuring that customer, company and team member information is secure and handled in ways that are fully compliant with relevant laws and regulations. Because there are many aspects of this topic that apply to all of our businesses, Cimpress invests in a central security team that defines security policies, deploys security controls, and provides services and embeds security into the development processes of our businesses. This team works in partnership with each of our businesses and the corporate center to measure security maturity and risk, and provides managed security services in a way that allows each business to address their unique challenges, lower their cost, and become more efficient in using their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Talent Infrastructure</w:t>
      </w:r>
    </w:p>
    <w:p>
      <w:pPr>
        <w:spacing w:after="0" w:line="207"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We make it easy, low cost, and efficient for Cimpress businesses to set up and grow teams in India via a central infrastructure that provides all the local recruiting, onboarding, day-to-day administration, HR, and facilities management to support these teams, whether for technology, graphic services, or other business functions. Most of our businesses have established teams in India leveraging this central capability, with those teams working directly for the respective Cimpress business. This is another example of scale advantage, albeit with talent, relative to both traditional suppliers and smaller online competitors that we can leverage across Cimpress.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markets for the products our businesses produce and sell are intensely competitive, highly fragmented and geographically dispersed, with many existing and potential competitors. We have very low market share relative to the total. Within this highly competitive context, our businesses compete on the basis of breadth and depth of product offerings; price; convenience; quality; technology; design content, tools, and assistance; customer service; ease of use; and production and delivery speed. It is our intention to offer a broad selection of high-quality products as well as related services at low price points and in doing so, offer our customers an attractive value proposition. Our current competition includes a combination of the following:</w:t>
      </w:r>
    </w:p>
    <w:p>
      <w:pPr>
        <w:spacing w:after="0" w:line="20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530" w:right="359" w:bottom="1440" w:gutter="0" w:footer="0" w:header="0"/>
        </w:sectPr>
      </w:pPr>
    </w:p>
    <w:bookmarkStart w:id="11" w:name="page12"/>
    <w:bookmarkEnd w:id="11"/>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2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Today’s market has evolved to be much tougher in terms of competition. This evolution, which has been going on for 20 years, has led to major benefits for the customers in terms of lower prices, faster lead times, and easier customer experience. Cimpress and its businesses have proactively driven, and benefited from, this dynamic. The mass customization business model first took off with small format products like business cards, post cards and flyers, and consumer products like holiday cards. As the model has become better understood and more prevalent, and online advertising approaches more common, the competition has become more intense. We are seeing these types of small format products growing at rates slower than some other product categories, and we continue to derive significant profits from these small format products. Conversely, there are other product areas that have only more recently begun to benefit from mass customization, such as signage, promotional products, apparel and gifts, textiles and packaging. Here, we see higher rates of growth, but with a wider variety of profit outcomes as we continue to scale our offering in these areas. There is also a geographic overlay to these trends. For example, in developing markets like India and Brazil where these products are more recently available in an online marketplace, we see stronger growth across all product areas, whereas the market in countries such as Germany is far more mature and therefore more slow growing.</w:t>
      </w:r>
    </w:p>
    <w:p>
      <w:pPr>
        <w:spacing w:after="0" w:line="210"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We anticipate that the overall competitive landscape described above will change as a result of the pandemic. We believe that the shift from traditional to mass customized models may accelerate, and that some of the online competitors that offer a more limited product portfolio or lack scale advantages will have less flexibility to navigate changing customer demand levels. Our businesses have done well during past economic recessions, because we serve our customers with a fundamentally more competitive business model than the highly fragmented, sub-scale traditional competitors. Shelter-at-home experiences are making e-commerce and service-at-a-distance experiences like ours more mainstream. As we have done in past economic downturns, we also have an opportunity to serve millions of individuals who take up self-employment or freelance roles because of our ability to serve the needs of those customers.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and Environmental Responsibility</w:t>
      </w:r>
    </w:p>
    <w:p>
      <w:pPr>
        <w:spacing w:after="0" w:line="247" w:lineRule="exact"/>
        <w:rPr>
          <w:sz w:val="20"/>
          <w:szCs w:val="20"/>
          <w:color w:val="auto"/>
        </w:rPr>
      </w:pPr>
    </w:p>
    <w:p>
      <w:pPr>
        <w:ind w:right="620" w:firstLine="648"/>
        <w:spacing w:after="0" w:line="261" w:lineRule="auto"/>
        <w:rPr>
          <w:sz w:val="20"/>
          <w:szCs w:val="20"/>
          <w:color w:val="auto"/>
        </w:rPr>
      </w:pPr>
      <w:r>
        <w:rPr>
          <w:rFonts w:ascii="Arial" w:cs="Arial" w:eastAsia="Arial" w:hAnsi="Arial"/>
          <w:sz w:val="18"/>
          <w:szCs w:val="18"/>
          <w:color w:val="auto"/>
        </w:rPr>
        <w:t>Above and beyond compliance with applicable laws and regulations, we expect all parts of Cimpress to conduct business in a socially responsible, ethical manner. Examples of these efforts are:</w:t>
      </w:r>
    </w:p>
    <w:p>
      <w:pPr>
        <w:spacing w:after="0" w:line="135"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Environmental </w:t>
      </w:r>
      <w:r>
        <w:rPr>
          <w:rFonts w:ascii="Arial" w:cs="Arial" w:eastAsia="Arial" w:hAnsi="Arial"/>
          <w:sz w:val="17"/>
          <w:szCs w:val="17"/>
          <w:color w:val="auto"/>
        </w:rPr>
        <w:t>- We regularly evaluate ways to minimize the impact of our operations on the environment. In terms of combating</w:t>
      </w:r>
      <w:r>
        <w:rPr>
          <w:rFonts w:ascii="Arial" w:cs="Arial" w:eastAsia="Arial" w:hAnsi="Arial"/>
          <w:sz w:val="17"/>
          <w:szCs w:val="17"/>
          <w:b w:val="1"/>
          <w:bCs w:val="1"/>
          <w:color w:val="auto"/>
        </w:rPr>
        <w:t xml:space="preserve"> </w:t>
      </w:r>
      <w:r>
        <w:rPr>
          <w:rFonts w:ascii="Arial" w:cs="Arial" w:eastAsia="Arial" w:hAnsi="Arial"/>
          <w:sz w:val="17"/>
          <w:szCs w:val="17"/>
          <w:color w:val="auto"/>
        </w:rPr>
        <w:t>climate change, we have established and centrally fund a company-wide carbon emissions reduction program to lower the emissions associated with our operations at a rate slightly exceeding the 1.5</w:t>
      </w:r>
      <w:r>
        <w:rPr>
          <w:rFonts w:ascii="Arial" w:cs="Arial" w:eastAsia="Arial" w:hAnsi="Arial"/>
          <w:sz w:val="20"/>
          <w:szCs w:val="20"/>
          <w:color w:val="auto"/>
          <w:vertAlign w:val="superscript"/>
        </w:rPr>
        <w:t>o</w:t>
      </w:r>
      <w:r>
        <w:rPr>
          <w:rFonts w:ascii="Arial" w:cs="Arial" w:eastAsia="Arial" w:hAnsi="Arial"/>
          <w:sz w:val="17"/>
          <w:szCs w:val="17"/>
          <w:color w:val="auto"/>
        </w:rPr>
        <w:t>C target pathway, and expect to achieve carbon neutrality by</w:t>
      </w:r>
    </w:p>
    <w:p>
      <w:pPr>
        <w:spacing w:after="0" w:line="2" w:lineRule="exact"/>
        <w:rPr>
          <w:rFonts w:ascii="Arial" w:cs="Arial" w:eastAsia="Arial" w:hAnsi="Arial"/>
          <w:sz w:val="17"/>
          <w:szCs w:val="17"/>
          <w:b w:val="1"/>
          <w:bCs w:val="1"/>
          <w:color w:val="auto"/>
        </w:rPr>
      </w:pPr>
    </w:p>
    <w:p>
      <w:pPr>
        <w:ind w:left="66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2040. This commitment expands upon our previous 2°C target, established in alignment with the 2015 United Nations Global Change Conference (COP21 “Paris Climate Accord”), and now includes the emissions from our supply chain (Scope 3). Our plan includes investments in energy-reducing infrastructure and equipment, renewable energy sourcing, and examination of our substrate and logistics choices for further opportunities to reduce total emissions. We are on track to meet this commitment, and we seek to make further improvements each year going forward.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71" w:right="339" w:bottom="1440" w:gutter="0" w:footer="0" w:header="0"/>
        </w:sectPr>
      </w:pPr>
    </w:p>
    <w:bookmarkStart w:id="12" w:name="page13"/>
    <w:bookmarkEnd w:id="12"/>
    <w:p>
      <w:pPr>
        <w:ind w:left="660"/>
        <w:spacing w:after="0" w:line="245" w:lineRule="auto"/>
        <w:rPr>
          <w:sz w:val="20"/>
          <w:szCs w:val="20"/>
          <w:color w:val="auto"/>
        </w:rPr>
      </w:pPr>
      <w:r>
        <w:rPr>
          <w:rFonts w:ascii="Arial" w:cs="Arial" w:eastAsia="Arial" w:hAnsi="Arial"/>
          <w:sz w:val="18"/>
          <w:szCs w:val="18"/>
          <w:color w:val="auto"/>
        </w:rPr>
        <w:t>We have converted the vast majority of the paper we print on in our Cimpress-owned production facilities to FSC-certified paper (FSC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C143124, FSC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C125299), the leading certification of responsible forestry practices. This certification confirms that the paper we print on comes from responsibly managed forests that meet high environmental and social standards. Currently over 85% of the paper that we print on in our facilities is FSC-certified, and we seek to move that to 100% over time. We have also committed to influencing our third-party suppliers to materially expand their use of responsibly forested paper for the products that they customize on our behalf, as well as using either FSC-certified corrugate or packaging materials containing recycled content from post-consumer sources to help ensure our packaging does not contribute to deforestation.</w:t>
      </w:r>
    </w:p>
    <w:p>
      <w:pPr>
        <w:spacing w:after="0" w:line="173" w:lineRule="exact"/>
        <w:rPr>
          <w:sz w:val="20"/>
          <w:szCs w:val="20"/>
          <w:color w:val="auto"/>
        </w:rPr>
      </w:pPr>
    </w:p>
    <w:p>
      <w:pPr>
        <w:ind w:left="660" w:right="60"/>
        <w:spacing w:after="0" w:line="256" w:lineRule="auto"/>
        <w:rPr>
          <w:sz w:val="20"/>
          <w:szCs w:val="20"/>
          <w:color w:val="auto"/>
        </w:rPr>
      </w:pPr>
      <w:r>
        <w:rPr>
          <w:rFonts w:ascii="Arial" w:cs="Arial" w:eastAsia="Arial" w:hAnsi="Arial"/>
          <w:sz w:val="18"/>
          <w:szCs w:val="18"/>
          <w:color w:val="auto"/>
        </w:rPr>
        <w:t>We also have just committed to improve the profile of our plastic-based packaging and products in line with the targets set by the New Plastics Economy Global Commitment, co-sponsored by the United Nations Environment Programme. This includes a focus on reduced plastic usage, increased recyclability, and support of products that contain recycled materials.</w:t>
      </w:r>
    </w:p>
    <w:p>
      <w:pPr>
        <w:spacing w:after="0" w:line="139" w:lineRule="exact"/>
        <w:rPr>
          <w:sz w:val="20"/>
          <w:szCs w:val="20"/>
          <w:color w:val="auto"/>
        </w:rPr>
      </w:pPr>
    </w:p>
    <w:p>
      <w:pPr>
        <w:ind w:left="660" w:right="12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Fair labor practices </w:t>
      </w:r>
      <w:r>
        <w:rPr>
          <w:rFonts w:ascii="Arial" w:cs="Arial" w:eastAsia="Arial" w:hAnsi="Arial"/>
          <w:sz w:val="18"/>
          <w:szCs w:val="18"/>
          <w:color w:val="auto"/>
        </w:rPr>
        <w:t>- We make recruiting, retention, and other performance management related decisions based solely on merit,</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an individual’s ability to do their job with excellence and in alignment with the company’s strategic and operational objectives. We do not tolerate discrimination on any basis protected by human rights laws or anti-discrimination regulations, and we strive to do more in this regard than the law requires. We are committed to a work environment where team members are treated with respect and fairness, and have invested in education and awareness programs for team members to make further improvements in this area. We value individual differences, unique perspectives and the distinct contributions that each one of us can make to the company.</w:t>
      </w:r>
    </w:p>
    <w:p>
      <w:pPr>
        <w:spacing w:after="0" w:line="142"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Team member health and safety </w:t>
      </w:r>
      <w:r>
        <w:rPr>
          <w:rFonts w:ascii="Arial" w:cs="Arial" w:eastAsia="Arial" w:hAnsi="Arial"/>
          <w:sz w:val="18"/>
          <w:szCs w:val="18"/>
          <w:color w:val="auto"/>
        </w:rPr>
        <w:t>- We require safe working conditions at all times to ensure our team members and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are protected, and require legal compliance at a minimum at all times. We require training on – and compliance with – safe work practices and procedures at all manufacturing facilities to ensure the safety of team members and visitors to our plant floors. Given the global impacts of the COVID-19 pandemic, we have held our team member health and safety as a top priority, and have implemented measures such as remote working for members who are able to, restrictions on team member travel to be essential only, and increased safety measures at our manufacturing and customer service centers including additional cleaning and sanitary protocols.</w:t>
      </w:r>
    </w:p>
    <w:p>
      <w:pPr>
        <w:spacing w:after="0" w:line="142" w:lineRule="exact"/>
        <w:rPr>
          <w:rFonts w:ascii="Arial" w:cs="Arial" w:eastAsia="Arial" w:hAnsi="Arial"/>
          <w:sz w:val="18"/>
          <w:szCs w:val="18"/>
          <w:color w:val="auto"/>
        </w:rPr>
      </w:pPr>
    </w:p>
    <w:p>
      <w:pPr>
        <w:ind w:left="660" w:right="14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Ethical supply chain </w:t>
      </w:r>
      <w:r>
        <w:rPr>
          <w:rFonts w:ascii="Arial" w:cs="Arial" w:eastAsia="Arial" w:hAnsi="Arial"/>
          <w:sz w:val="18"/>
          <w:szCs w:val="18"/>
          <w:color w:val="auto"/>
        </w:rPr>
        <w:t>- It is important to us that our supply chain reflects our commitment to doing business with the highest</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of ethics and integrity. Each Cimpress business is responsible to ensure its supply chain does not allow for unacceptable practices such as environmental crimes, child labor, slavery or unsafe working conditions.</w:t>
      </w:r>
    </w:p>
    <w:p>
      <w:pPr>
        <w:spacing w:after="0" w:line="152" w:lineRule="exact"/>
        <w:rPr>
          <w:sz w:val="20"/>
          <w:szCs w:val="20"/>
          <w:color w:val="auto"/>
        </w:rPr>
      </w:pPr>
    </w:p>
    <w:p>
      <w:pPr>
        <w:ind w:right="280" w:firstLine="648"/>
        <w:spacing w:after="0" w:line="291" w:lineRule="auto"/>
        <w:rPr>
          <w:sz w:val="20"/>
          <w:szCs w:val="20"/>
          <w:color w:val="auto"/>
        </w:rPr>
      </w:pPr>
      <w:r>
        <w:rPr>
          <w:rFonts w:ascii="Arial" w:cs="Arial" w:eastAsia="Arial" w:hAnsi="Arial"/>
          <w:sz w:val="17"/>
          <w:szCs w:val="17"/>
          <w:color w:val="auto"/>
        </w:rPr>
        <w:t>More information can be found at www.cimpress.com in our Corporate Social Responsibility section, including links to reports and documents such as our supplier code of conduct, compliance with the UK anti-slavery act and our supply chain transparency disclosure.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seek to protect our proprietary rights through a combination of patents, copyrights, trade secrets, trademarks and contractual restrictions. We enter into confidentiality and proprietary rights agreements with our employees, consultants and business partners, and control access to, and distribution of, our proprietary information. We have registered, or applied for the registration of, a number of U.S. and international domain names, trademarks, and copyrights. Additionally, we have filed U.S. and international patent applications for certain of our proprietary technology.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7"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Our profitability has historically been highly seasonal. Our second fiscal quarter, ending December 31, includes the majority of the holiday shopping season and has become our strongest quarter for sales of our consumer-oriented products, such as holiday cards, calendars, canvas prints, photobooks, and personalized gifts.</w:t>
      </w:r>
    </w:p>
    <w:p>
      <w:pPr>
        <w:spacing w:after="0" w:line="161"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In fiscal 2020, operating income for our second quarter was greater than our operating income for the entire year, due in part to impairments recognized during our third quarter as well as negative impacts from the COVID-19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530" w:right="359" w:bottom="1440" w:gutter="0" w:footer="0" w:header="0"/>
        </w:sectPr>
      </w:pPr>
    </w:p>
    <w:bookmarkStart w:id="13" w:name="page14"/>
    <w:bookmarkEnd w:id="13"/>
    <w:p>
      <w:pPr>
        <w:ind w:right="40"/>
        <w:spacing w:after="0" w:line="261" w:lineRule="auto"/>
        <w:rPr>
          <w:sz w:val="20"/>
          <w:szCs w:val="20"/>
          <w:color w:val="auto"/>
        </w:rPr>
      </w:pPr>
      <w:r>
        <w:rPr>
          <w:rFonts w:ascii="Arial" w:cs="Arial" w:eastAsia="Arial" w:hAnsi="Arial"/>
          <w:sz w:val="18"/>
          <w:szCs w:val="18"/>
          <w:color w:val="auto"/>
        </w:rPr>
        <w:t>pandemic and related restrictions. Operating income during the second fiscal quarter represented 55%, and 46% of annual operating income in the years ended June 30, 2019 and 2018,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we had approximately 12,000 full-time and approximately 1,000 temporary employees worldwide.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Cimpress plc was incorporated on July 5, 2017 as a private company limited by shares under the laws of Ireland and on November 18, 2019 was re-registered as a public limited company under the laws of Ireland. On December 3, 2019, Cimpress completed the Irish Merger pursuant to which Cimpress N.V. merged with and into Cimpress plc, with Cimpress plc surviving the merger and becoming the publicly traded parent company of the Cimpress group of entities. Cimpress N.V., the predecessor company to Cimpress plc, was incorporated under the laws of the Netherlands on June 5, 2009. The registered office of Cimpress plc is at Building D, Xerox Technology Park, Dundalk, Co. Louth, Ireland, and its telephone number at the registered office is +353-42-938-8500.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7"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make available, free of charge through our United States website, the reports, proxy statements, amendments and other materials we file with or furnish to the SEC as soon as reasonably practicable after we electronically file or furnish such materials with or to the SEC. The address of our United States website is www.cimpress.com. We are not including the information contained on our website, or information that can be accessed by links contained on our website, as a part of, or incorporating it by reference into, this Annual Report on Form 10-K.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3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long-term growth strategy is not successful, our business and financial results could be harmed.</w:t>
      </w:r>
    </w:p>
    <w:p>
      <w:pPr>
        <w:spacing w:after="0" w:line="24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We may not achieve our long-term objectives, and our investments in our business may fail to impact our results and growth as anticipated. Some of the factors that could cause our business strategy to fail to achieve our objectives include the following, among others:</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adequately execute our strategy or anticipate and overcome obstacles to achieving our strategic goals</w:t>
      </w:r>
    </w:p>
    <w:p>
      <w:pPr>
        <w:spacing w:after="0" w:line="225"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develop or deploy our mass customization platform or the failure of the platform to drive the efficiencies and competitive advantage we expect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manage the growth, complexity, and pace of change of our business and expand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address and mitigate the impacts of the COVID-19 pandemic on our business</w:t>
      </w:r>
    </w:p>
    <w:p>
      <w:pPr>
        <w:spacing w:after="0" w:line="225"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acquire, at a value-accretive price or at all, businesses that enhance the growth and development of our business or to effectively integrate the businesses we do acquire into our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30" w:right="339" w:bottom="1440" w:gutter="0" w:footer="0" w:header="0"/>
        </w:sectPr>
      </w:pPr>
    </w:p>
    <w:bookmarkStart w:id="14" w:name="page15"/>
    <w:bookmarkEnd w:id="14"/>
    <w:p>
      <w:pPr>
        <w:ind w:left="660" w:right="58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other key assets and capabilities to increase our efficiency, enhance our competitive advantage, and scale our operations</w:t>
      </w:r>
    </w:p>
    <w:p>
      <w:pPr>
        <w:spacing w:after="0" w:line="197"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at the standards we require and our inability to develop new or enhanced supply chains</w:t>
      </w:r>
    </w:p>
    <w:p>
      <w:pPr>
        <w:spacing w:after="0" w:line="197" w:lineRule="exact"/>
        <w:rPr>
          <w:rFonts w:ascii="Arial" w:cs="Arial" w:eastAsia="Arial" w:hAnsi="Arial"/>
          <w:sz w:val="18"/>
          <w:szCs w:val="18"/>
          <w:color w:val="auto"/>
        </w:rPr>
      </w:pPr>
    </w:p>
    <w:p>
      <w:pPr>
        <w:ind w:left="660" w:right="3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address performance issues in some of our businesses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sustain growth in relatively mature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effectively manage competition and overlap within our brand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realize expected returns on our capital allocation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attract and retain skilled talent needed to execute our strategy and sustain our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If our strategy is not successful, then our revenue, earnings, cash flow, and value may not grow as anticipated, be negatively impacted, or decline, our reputation and brands may be damaged, and the price of our shares may decline. In addition, we may change our strategy from time to time, which can cause fluctuations in our financial results and volatility in our share price.</w:t>
      </w:r>
    </w:p>
    <w:p>
      <w:pPr>
        <w:spacing w:after="0" w:line="15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The COVID-19 pandemic has had a major adverse impact, and is expected to continue to have a major adverse impact, on our operations, financial results, customers, markets, and employees.</w:t>
      </w:r>
    </w:p>
    <w:p>
      <w:pPr>
        <w:spacing w:after="0" w:line="175" w:lineRule="exact"/>
        <w:rPr>
          <w:sz w:val="20"/>
          <w:szCs w:val="20"/>
          <w:color w:val="auto"/>
        </w:rPr>
      </w:pPr>
    </w:p>
    <w:p>
      <w:pPr>
        <w:ind w:right="520" w:firstLine="648"/>
        <w:spacing w:after="0" w:line="261" w:lineRule="auto"/>
        <w:rPr>
          <w:sz w:val="20"/>
          <w:szCs w:val="20"/>
          <w:color w:val="auto"/>
        </w:rPr>
      </w:pPr>
      <w:r>
        <w:rPr>
          <w:rFonts w:ascii="Arial" w:cs="Arial" w:eastAsia="Arial" w:hAnsi="Arial"/>
          <w:sz w:val="18"/>
          <w:szCs w:val="18"/>
          <w:color w:val="auto"/>
        </w:rPr>
        <w:t>The COVID-19 pandemic has negatively impacted our business in a number of material ways, and we expect these impacts to continue. These impacts include, but are not limited to, the following:</w:t>
      </w:r>
    </w:p>
    <w:p>
      <w:pPr>
        <w:spacing w:after="0" w:line="198" w:lineRule="exact"/>
        <w:rPr>
          <w:sz w:val="20"/>
          <w:szCs w:val="20"/>
          <w:color w:val="auto"/>
        </w:rPr>
      </w:pPr>
    </w:p>
    <w:p>
      <w:pPr>
        <w:ind w:left="660" w:right="2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declines in demand for our products and services, leading to major adverse effects on our revenue, earnings, cash flows, and other financial results</w:t>
      </w:r>
    </w:p>
    <w:p>
      <w:pPr>
        <w:spacing w:after="0" w:line="197"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in our operations, with many of our employees subject to shelter-in-place orders and other safety measures restricting them from leaving their homes</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 investments of time and resources as our management team focuses on mitigating the effects of the pandemic on our business operations while protecting the health of our employees</w:t>
      </w:r>
    </w:p>
    <w:p>
      <w:pPr>
        <w:spacing w:after="0" w:line="19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Depending on the duration and development of the pandemic, including the possibility of future "waves" of increased infection rates, we could see additional impacts in the future. For example, although our supply chain has not been materially impacted to date, in the future we could experience supply chain disruptions due to restrictions on the operations of our suppliers and travel restrictions including border closures in some jurisdictions. In addition, although we have amended our senior secured credit facility to suspend our financial maintenance covenants for a period of time, if the adverse effects on our financial results continue beyond the suspension period, we could have difficulty complying with our credit facility covenants, which could have a number of negative effects on our business and operations, ranging from limitations on our ability to borrow under the facility to causing us to default under our indebtedness.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571" w:right="359" w:bottom="1440" w:gutter="0" w:footer="0" w:header="0"/>
        </w:sectPr>
      </w:pPr>
    </w:p>
    <w:bookmarkStart w:id="15" w:name="page16"/>
    <w:bookmarkEnd w:id="15"/>
    <w:p>
      <w:pPr>
        <w:ind w:right="360" w:firstLine="648"/>
        <w:spacing w:after="0" w:line="253" w:lineRule="auto"/>
        <w:rPr>
          <w:sz w:val="20"/>
          <w:szCs w:val="20"/>
          <w:color w:val="auto"/>
        </w:rPr>
      </w:pPr>
      <w:r>
        <w:rPr>
          <w:rFonts w:ascii="Arial" w:cs="Arial" w:eastAsia="Arial" w:hAnsi="Arial"/>
          <w:sz w:val="18"/>
          <w:szCs w:val="18"/>
          <w:color w:val="auto"/>
        </w:rPr>
        <w:t>We cannot predict how the COVID-19 pandemic will develop, how long it and its impacts on economic activity and our business, operations, and markets will continue, or whether the pandemic will lead to a prolonged economic downturn. Although we expect the pandemic to continue to materially adversely impact customers, and therefore our financial results, and prolonged impacts could begin to materially impact suppliers and employees, the extent of the impacts will depend on future developments that are highly uncertain and impossible to predict.</w:t>
      </w:r>
    </w:p>
    <w:p>
      <w:pPr>
        <w:spacing w:after="0" w:line="18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Our ability to provide a high-quality customer experience is also dependent on external factors over which we may have little or no control, such as the reliability and performance of our suppliers, third-party fulfillers, third-party carriers, and communication infrastructure providers. If we are unable to promote our brands or provide customers with a high-quality customer experience, we may fail to attract new customers, maintain customer relationships, and sustain or increase our revenues.</w:t>
      </w:r>
    </w:p>
    <w:p>
      <w:pPr>
        <w:spacing w:after="0" w:line="15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and do not manage our business to maximize current period reported financial results, such as (but not limited to) near- and mid-term revenue, operating income, net income, EPS, adjusted EBITDA, and cash flow.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7" w:lineRule="exact"/>
        <w:rPr>
          <w:sz w:val="20"/>
          <w:szCs w:val="20"/>
          <w:color w:val="auto"/>
        </w:rPr>
      </w:pPr>
    </w:p>
    <w:p>
      <w:pPr>
        <w:ind w:left="660" w:right="1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the COVID-19 pandemic on our customers, suppliers, business, and operations</w:t>
      </w:r>
    </w:p>
    <w:p>
      <w:pPr>
        <w:spacing w:after="0" w:line="225" w:lineRule="exact"/>
        <w:rPr>
          <w:rFonts w:ascii="Arial" w:cs="Arial" w:eastAsia="Arial" w:hAnsi="Arial"/>
          <w:sz w:val="18"/>
          <w:szCs w:val="18"/>
          <w:color w:val="auto"/>
        </w:rPr>
      </w:pPr>
    </w:p>
    <w:p>
      <w:pPr>
        <w:ind w:left="660" w:right="68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the demand for our products and services, in particular during our second fiscal quarter, which may be driven by seasonality, performance issues in some of our businesses and markets, or other factors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 costs, and fair value of our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25" w:lineRule="exact"/>
        <w:rPr>
          <w:rFonts w:ascii="Arial" w:cs="Arial" w:eastAsia="Arial" w:hAnsi="Arial"/>
          <w:sz w:val="18"/>
          <w:szCs w:val="18"/>
          <w:color w:val="auto"/>
        </w:rPr>
      </w:pPr>
    </w:p>
    <w:p>
      <w:pPr>
        <w:ind w:left="660" w:right="58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 and the rising costs of raw materials such as paper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55" w:right="339" w:bottom="1440" w:gutter="0" w:footer="0" w:header="0"/>
        </w:sectPr>
      </w:pPr>
    </w:p>
    <w:bookmarkStart w:id="16" w:name="page17"/>
    <w:bookmarkEnd w:id="16"/>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increases in credits, beyond our estimated allowances, for customers who are not satisfied with our products or delivery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effective income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Some of our expenses, such as office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5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We may not be successful in developing and deploying our mass customization platform or in realizing the anticipated benefits of the platform.</w:t>
      </w:r>
    </w:p>
    <w:p>
      <w:pPr>
        <w:spacing w:after="0" w:line="13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key component of our strategy is the development and deployment of a mass customization platform, which is a cloud-based collection of software services, APIs, web applications and related technology offerings that can be leveraged independently or together by our businesses and third parties to perform common tasks that are important to mass customization. The process of developing new technology is complex, costly, and uncertain and requires us to commit significant resources before knowing whether our businesses will adopt components of our mass customization platform or whether the platform will make us more effective and competitive. As a result, there can be no assurance that we will find new capabilities to add to the growing set of technologies that make up our platform, that our diverse businesses will realize value from the platform, or that we will realize expected returns on the capital expended to develop the platform.</w:t>
      </w:r>
    </w:p>
    <w:p>
      <w:pPr>
        <w:spacing w:after="0" w:line="15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In addition, we are aware that other companies are developing platforms that could compete with ours. If a competitor were to create a more attractive or easier to adopt platform that has the potential to drive more scale advantage than ours does, our competitive position could be harmed.</w:t>
      </w:r>
    </w:p>
    <w:p>
      <w:pPr>
        <w:spacing w:after="0" w:line="15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Our global operations, decentralized organizational structure, and expansion place a significant strain on our management, employees, facilities, and other resources and subject us to additional risks.</w:t>
      </w:r>
    </w:p>
    <w:p>
      <w:pPr>
        <w:spacing w:after="0" w:line="175"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We are a global company with production facilities, offices, and localized websites in many countries across six continents, and we manage our businesses and operations in a decentralized, autonomous manner. We expect to establish operations, acquire or invest in businesses, and sell our products and services in additional markets and geographic regions, including emerging markets, where we may have limited or no experience. We may not be successful in all markets and regions in which we invest or where we establish operations, which may be costly to us. We are subject to a number of risks and challenges that relate to our global operations, decentralization, and expansion, including, among others:</w:t>
      </w:r>
    </w:p>
    <w:p>
      <w:pPr>
        <w:spacing w:after="0" w:line="20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25"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197"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improve and adapt our financial and operational controls and systems to manage our decentralized businesses and comply with our obligations as a public company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355" w:right="379" w:bottom="1440" w:gutter="0" w:footer="0" w:header="0"/>
        </w:sectPr>
      </w:pPr>
    </w:p>
    <w:bookmarkStart w:id="17" w:name="page18"/>
    <w:bookmarkEnd w:id="17"/>
    <w:p>
      <w:pPr>
        <w:ind w:left="660" w:right="20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markets, countries, and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of working with local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and attributes appropriate for local tastes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660" w:right="42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exposure to corrupt business practices that may be common in some countries or in some sales channels and markets, such as bribery or the willful infringement of intellectual property rights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25"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There is considerable uncertainty about the economic and regulatory effects of the United Kingdom's exit from the European Union (commonly referred to as "Brexit"). The UK is one of our largest markets in Europe, but we currently ship many products to UK customers from EU countries. If Brexit results in greater restrictions on imports and exports between the UK and the EU or increased regulatory complexity, then our operations and financial results could be negatively impacted.</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93"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Our information systems and those of third parties with which we share information are vulnerable to an increasing threat of cyber security risks, including physical and electronic break-ins, computer viruses, and phishing and other social engineering scams, among other risks, and these vulnerabilities may be heightened during the COVID-19 pandemic when many of our employees are working from home and a number of our offices are largely empty.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expend significant resources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55" w:right="339" w:bottom="1440" w:gutter="0" w:footer="0" w:header="0"/>
        </w:sectPr>
      </w:pPr>
    </w:p>
    <w:bookmarkStart w:id="18" w:name="page19"/>
    <w:bookmarkEnd w:id="18"/>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expose us to losses, remediation costs, litigation, enforcement actions, and possible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 to the misuse of our and our customers' and employees' confidential or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cause interruptions in our operations</w:t>
      </w:r>
    </w:p>
    <w:p>
      <w:pPr>
        <w:spacing w:after="0" w:line="225" w:lineRule="exact"/>
        <w:rPr>
          <w:rFonts w:ascii="Arial" w:cs="Arial" w:eastAsia="Arial" w:hAnsi="Arial"/>
          <w:sz w:val="18"/>
          <w:szCs w:val="18"/>
          <w:color w:val="auto"/>
        </w:rPr>
      </w:pPr>
    </w:p>
    <w:p>
      <w:pPr>
        <w:ind w:left="660" w:right="34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198"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any of which could have an adverse effect on our business. In addition, the regulatory landscape is constantly changing, as various regulatory bodies throughout the world enact new laws concerning privacy, data retention, data transfer and data protection, such as the California Consumer Privacy Act that recently became effective. Complying with these varying and changing requirements could cause us to incur substantial costs or require us to change our business practices in a manner adverse to our business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investments may be disruptive to our business.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strategic investments may fail to achieve our goals.</w:t>
      </w:r>
    </w:p>
    <w:p>
      <w:pPr>
        <w:spacing w:after="0" w:line="24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for a number of reasons including the following:</w:t>
      </w:r>
    </w:p>
    <w:p>
      <w:pPr>
        <w:spacing w:after="0" w:line="19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as well as we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overpay for acquired businesses, which can, among other things, negatively affect our intrinsic value per share.</w:t>
      </w:r>
    </w:p>
    <w:p>
      <w:pPr>
        <w:spacing w:after="0" w:line="225"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integrate acquired businesses, technologies, services, or internal systems effectively, or the integration may be more expensive or take more time than we anticipated.</w:t>
      </w:r>
    </w:p>
    <w:p>
      <w:pPr>
        <w:spacing w:after="0" w:line="197"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management of our acquired businesses, minority investments, and joint ventures may be more expensive or may take more resources than we expected.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realize the anticipated benefits of integrating acquired businesses into our mass customization platform.</w:t>
      </w:r>
    </w:p>
    <w:p>
      <w:pPr>
        <w:spacing w:after="0" w:line="225"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cultural or language challenges in integrating an acquired business or managing our minority investment in a business.</w:t>
      </w:r>
    </w:p>
    <w:p>
      <w:pPr>
        <w:spacing w:after="0" w:line="197" w:lineRule="exact"/>
        <w:rPr>
          <w:rFonts w:ascii="Arial" w:cs="Arial" w:eastAsia="Arial" w:hAnsi="Arial"/>
          <w:sz w:val="18"/>
          <w:szCs w:val="18"/>
          <w:color w:val="auto"/>
        </w:rPr>
      </w:pPr>
    </w:p>
    <w:p>
      <w:pPr>
        <w:ind w:left="660" w:right="18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businesses we acquire or invest in may not be able to cross sell products and services to each other's customers.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571" w:right="359" w:bottom="1440" w:gutter="0" w:footer="0" w:header="0"/>
        </w:sectPr>
      </w:pPr>
    </w:p>
    <w:bookmarkStart w:id="19" w:name="page20"/>
    <w:bookmarkEnd w:id="19"/>
    <w:p>
      <w:pPr>
        <w:ind w:right="20" w:firstLine="648"/>
        <w:spacing w:after="0" w:line="254" w:lineRule="auto"/>
        <w:rPr>
          <w:sz w:val="20"/>
          <w:szCs w:val="20"/>
          <w:color w:val="auto"/>
        </w:rPr>
      </w:pPr>
      <w:r>
        <w:rPr>
          <w:rFonts w:ascii="Arial" w:cs="Arial" w:eastAsia="Arial" w:hAnsi="Arial"/>
          <w:sz w:val="18"/>
          <w:szCs w:val="18"/>
          <w:color w:val="auto"/>
        </w:rPr>
        <w:t>We generally assume the liabilities of businesses we acquire, which could include liability for an acquired business' violation of law that occurred before we acquired it. In addition, we have historically acquired smaller, privately held companies that may not have as strong a culture of legal compliance or as robust financial controls as a larger, publicly traded company like Cimpress, and if we fail to implement adequate training, controls, and monitoring of the acquired companies, we could also be liable for post-acquisition legal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minority investments can negatively impact our financial results.</w:t>
      </w:r>
    </w:p>
    <w:p>
      <w:pPr>
        <w:spacing w:after="0" w:line="247"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Acquisitions and minority investments can be costly, and some of our acquisitions and investments may be dilutive, leading to reduced earnings. Acquisitions and investments can result in increased expenses including impairments of goodwill and intangible assets if financial goals are not achieved, assumptions of contingent or unanticipated liabilities, amortization of acquired intangible assets, and increased tax costs.</w:t>
      </w:r>
    </w:p>
    <w:p>
      <w:pPr>
        <w:spacing w:after="0" w:line="20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In addition, 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20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benefiting the business. In addition, strong performance of the underlying business could result in material payments pursuant to earn-out provisions or future purchase obligations that may or may not reflect the fair market value of the asset at that time.</w:t>
      </w:r>
    </w:p>
    <w:p>
      <w:pPr>
        <w:spacing w:after="0" w:line="15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If we are unable to attract new and repeat customers in a cost-effective manner, our business and results of operations could be harmed.</w:t>
      </w:r>
    </w:p>
    <w:p>
      <w:pPr>
        <w:spacing w:after="0" w:line="14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success depends on our ability to attract new and repeat customers in a cost-effective manner. Our various businesses rely on a variety of methods to do this including drawing visitors to our websites, promoting our products and services through search engines such as Google, Bing, and Yahoo!, email, direct mail, advertising banners and other online links, broadcast media, telesales and word -of-mouth customer referrals. If the search engines on which we rely modify their algorithms or terminate their relationships with us, or if the prices at which we may purchase listings increase, then our costs could increase, and fewer customers may click through to our websites. If links to our websites are not displayed prominently in online search results, if fewer customers click through to our websites, if our direct mail marketing campaigns are not effective, or if the costs of attracting customers using any of our current methods significantly increase, then our ability to efficiently attract new and repeat customers would be reduced, our revenue and net income could decline, and our business and results of operations would be harmed.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profitability has historically been highly seasonal. Our second fiscal quarter includes the majority of the holiday shopping season and accounts for a disproportionately high portion of our earnings for the year, primarily due to higher sales of home and family products such as holiday cards, calendars, photo books, and personalized gifts. In addition, our National Pen business has historically generated nearly all of its profits during the December quarter. Our operating income during the second fiscal quarter represented 217%, 55%, and 46% of annual operating income in the years ended June 30, 2020, 2019, and 2018. In anticipation of increased sales activity during our second fiscal quarter holiday season, we typically incur significant additional capacity related expenses each year to meet our seasonal needs, including facility expansions, equipment purchases and leases, and increases in the number of temporary and permanent employees. Lower than expected sales during the second quarter have a disproportionately large impact on our operating results and financial condition for the full fiscal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71" w:right="33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color w:val="auto"/>
        </w:rPr>
        <w:t>year. In addition, if our manufacturing and other operations are unable to keep up with the high volume of orders during our second fiscal quarter or we experience inefficiencies in our production, then our costs may be significantly higher, and we and our customers can experience delays in order fulfillment and delivery and other disruptions. If we are unable to accurately forecast and respond to seasonality in our business, our business and results of operations may be materially harmed.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This could result in our having to borrow to settle a loss on a derivative without an offsetting cash inflow, potentially causing volatility in our cash or debt balances and therefore our leverage.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our operations and lack of redundancy.</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may be vulnerable to interruptions, and we do not have redundancies or alternatives in all cases to carry on these operations in the event of an interruption. In addition, because our businesses are dependent in part on third parties for the implementation and maintenance of certain aspects of our communications and production systems, we may not be able to remedy interruptions to these systems in a timely manner or at all due to factors outside of our control. Some of the events that could cause interruptions in our businesses' operations or systems are the following, among others:</w:t>
      </w:r>
    </w:p>
    <w:p>
      <w:pPr>
        <w:spacing w:after="0" w:line="20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fire, natural disasters, or extreme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pandemic or other public health crisis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human error, including poor managerial judgment or oversight</w:t>
      </w:r>
    </w:p>
    <w:p>
      <w:pPr>
        <w:spacing w:after="0" w:line="225" w:lineRule="exact"/>
        <w:rPr>
          <w:sz w:val="20"/>
          <w:szCs w:val="20"/>
          <w:color w:val="auto"/>
        </w:rPr>
      </w:pPr>
    </w:p>
    <w:p>
      <w:pPr>
        <w:ind w:right="400" w:firstLine="648"/>
        <w:spacing w:after="0" w:line="254" w:lineRule="auto"/>
        <w:rPr>
          <w:sz w:val="20"/>
          <w:szCs w:val="20"/>
          <w:color w:val="auto"/>
        </w:rPr>
      </w:pPr>
      <w:r>
        <w:rPr>
          <w:rFonts w:ascii="Arial" w:cs="Arial" w:eastAsia="Arial" w:hAnsi="Arial"/>
          <w:sz w:val="18"/>
          <w:szCs w:val="18"/>
          <w:color w:val="auto"/>
        </w:rPr>
        <w:t>Any interruptions to our systems or operations could result in lost revenue, increased costs, negative publicity, damage to our reputations and brands, and an adverse effect on our business and results of operations. Building redundancies into our infrastructure, systems, and supply chain to mitigate these risks may require us to commit substantial financial, operational, and technical resources, in some cases before the volume of their business increases with no assurance that their revenue will increase.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54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We face intense competition, and our competition may continue to increase.</w:t>
      </w:r>
    </w:p>
    <w:p>
      <w:pPr>
        <w:spacing w:after="0" w:line="2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like Amazon enter the mass customization market, and traditional “brick and mortar” businesses establish an online presence. Competition may result in price pressure, increased advertising expense, reduced profit margins, and loss of market share and brand recognition, any of which could substantially harm our business and financial results.</w:t>
      </w:r>
    </w:p>
    <w:p>
      <w:pPr>
        <w:spacing w:after="0" w:line="20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or loyalty, more focus on a given subset of our business, significantly greater financial, marketing, and other resources, or willingness to operate at a loss while building market share. Many of our competitors currently work together, and additional competitors may do so in the future through strategic business agreements or acquisitions. In addition, we have in the past and may in the future choose to collaborate with some of our existing and potential competitors in strategic partnerships that we believe will improve our competitive position and financial results. It is possible, however, that such ventures will be unsuccessful and that our competitive position and financial results will be adversely affected as a result of such collaboration.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 profitability, and results of operations. Many factors can significantly impact our pricing and marketing strategies, including the costs of running our business, the costs of raw materials, our competitors' pricing and marketing strategies, and the effects of inflation. If we fail to meet our customers' price expectations, our business and results of operations may suffer.</w:t>
      </w:r>
    </w:p>
    <w:p>
      <w:pPr>
        <w:spacing w:after="0" w:line="18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75"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SHE requirements, or new, more stringent SHE requirements applicable to us are imposed,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1"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4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contract with multiple business partners in an increasing number of jurisdictions worldwide, including sourcing the raw materials for the products we sell from an expanding number of suppliers and contracting with third-party merchants and manufacturers for the placement and fulfillment of customer orders. We require our suppliers, fulfillers, and merchants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333" w:right="379" w:bottom="1440" w:gutter="0" w:footer="0" w:header="0"/>
        </w:sectPr>
      </w:pPr>
    </w:p>
    <w:bookmarkStart w:id="22" w:name="page23"/>
    <w:bookmarkEnd w:id="22"/>
    <w:p>
      <w:pPr>
        <w:ind w:right="20"/>
        <w:spacing w:after="0" w:line="254" w:lineRule="auto"/>
        <w:rPr>
          <w:sz w:val="20"/>
          <w:szCs w:val="20"/>
          <w:color w:val="auto"/>
        </w:rPr>
      </w:pPr>
      <w:r>
        <w:rPr>
          <w:rFonts w:ascii="Arial" w:cs="Arial" w:eastAsia="Arial" w:hAnsi="Arial"/>
          <w:sz w:val="18"/>
          <w:szCs w:val="18"/>
          <w:color w:val="auto"/>
        </w:rPr>
        <w:t>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18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highly dependent upon the continued service and performance of our senior management and key technical, marketing, and production personnel, any of whom may cease their employment with us at any time with minimal advance notice. We face intense competition for qualified individuals from many other companies in diverse industries. The loss of key employees places a strain on members of our management team, who in some cases need to step in and support an additional business or function, and may significantly delay or prevent the achievement of our business objectives. Our failure to recruit, attract, and retain suitably qualified individuals to fill open roles or to adequately plan for succession could have an adverse effect on our ability to implement our business plan.</w:t>
      </w:r>
    </w:p>
    <w:p>
      <w:pPr>
        <w:spacing w:after="0" w:line="18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Our credit facility and the indentures that govern our notes restrict our current and future operations, particularly our ability to respond to changes or to take certain actions.</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senior secured credit facility, the indenture that governs our 7.0% senior unsecured notes due 2026, and the indenture that governs our 12.0% senior secured notes due 2025, which we collectively refer to as our debt documents, contain a number of restrictive covenants that impose significant operating and financial restrictions on us and may limit our ability to engage in acts that may be in our best interest, including restrictions on our ability to:</w:t>
      </w:r>
    </w:p>
    <w:p>
      <w:pPr>
        <w:spacing w:after="0" w:line="204"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prepay, redeem, or repurchase certain subordinated debt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May 2020, we amended our credit facility to suspend our financial maintenance covenants under the credit agreement for a period of time ending no later than the date on which we publish our financial results for the quarter ending December 31, 2021 (the Covenant Suspension Period), and during the Covenant Suspension Period there are more restrictive limitations on certain of our activities and actions, including the incurrence of additional indebtedness and liens, the consummation of certain investments including acquisitions, the making of restricted payments including purchasing our ordinary shares, and the incurrence of capital expenditures.</w:t>
      </w:r>
    </w:p>
    <w:p>
      <w:pPr>
        <w:spacing w:after="0" w:line="20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a result of these restrictions, we may be limited in how we conduct our business, grow in accordance with our strategy, compete effectively, or take advantage of new business opportunities. In addition, when the financial maintenance covenants in our credit agreement are reinstated after the Covenant Suspension Period ends, we will be required to maintain specified financial ratios and satisfy other financial condition tests. Our ability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35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to meet those financial ratios and tests can be affected by events beyond our control, and we may be unable to meet them.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any of our debt documents would have a material, adverse effect on our business.</w:t>
      </w:r>
    </w:p>
    <w:p>
      <w:pPr>
        <w:spacing w:after="0" w:line="24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any of our debt documents could result in an event of default under the applicable indebtedness. Such a default would have a material, adverse effect on our business and financial condition, including the following, among others:</w:t>
      </w:r>
    </w:p>
    <w:p>
      <w:pPr>
        <w:spacing w:after="0" w:line="202" w:lineRule="exact"/>
        <w:rPr>
          <w:sz w:val="20"/>
          <w:szCs w:val="20"/>
          <w:color w:val="auto"/>
        </w:rPr>
      </w:pPr>
    </w:p>
    <w:p>
      <w:pPr>
        <w:ind w:left="660" w:right="280" w:hanging="247"/>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lenders under our credit facility could terminate all commitments to extend further credit under that facility.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2020, our total debt was $1,482.2 million.</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Subject to the limits contained in our debt documents, we may be able to incur substantial additional debt from time to time to finance working capital, capital expenditures, investments or acquisitions, or for other purposes. If we do so, the risks related to our level of debt could intensify. Specifically, our level of debt could have important consequences, including the following:</w:t>
      </w:r>
    </w:p>
    <w:p>
      <w:pPr>
        <w:spacing w:after="0" w:line="202"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25" w:lineRule="exact"/>
        <w:rPr>
          <w:rFonts w:ascii="Arial" w:cs="Arial" w:eastAsia="Arial" w:hAnsi="Arial"/>
          <w:sz w:val="18"/>
          <w:szCs w:val="18"/>
          <w:color w:val="auto"/>
        </w:rPr>
      </w:pPr>
    </w:p>
    <w:p>
      <w:pPr>
        <w:ind w:left="660" w:right="400" w:hanging="247"/>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97" w:lineRule="exact"/>
        <w:rPr>
          <w:rFonts w:ascii="Arial" w:cs="Arial" w:eastAsia="Arial" w:hAnsi="Arial"/>
          <w:sz w:val="18"/>
          <w:szCs w:val="18"/>
          <w:color w:val="auto"/>
        </w:rPr>
      </w:pPr>
    </w:p>
    <w:p>
      <w:pPr>
        <w:ind w:left="660" w:right="520" w:hanging="247"/>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20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8" w:lineRule="exact"/>
        <w:rPr>
          <w:rFonts w:ascii="Arial" w:cs="Arial" w:eastAsia="Arial" w:hAnsi="Arial"/>
          <w:sz w:val="18"/>
          <w:szCs w:val="18"/>
          <w:color w:val="auto"/>
        </w:rPr>
      </w:pPr>
    </w:p>
    <w:p>
      <w:pPr>
        <w:ind w:left="660" w:right="340" w:hanging="247"/>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97"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and marketplaces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355" w:right="359" w:bottom="1440" w:gutter="0" w:footer="0" w:header="0"/>
        </w:sectPr>
      </w:pPr>
    </w:p>
    <w:bookmarkStart w:id="24" w:name="page25"/>
    <w:bookmarkEnd w:id="24"/>
    <w:p>
      <w:pPr>
        <w:ind w:right="20"/>
        <w:spacing w:after="0" w:line="287"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which may not be successful.</w:t>
      </w:r>
    </w:p>
    <w:p>
      <w:pPr>
        <w:spacing w:after="0" w:line="17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Our ability to make scheduled payments on or refinance our debt obligations depends on our financial condition and operating performance, which are subject to economic and competitive conditions and to various financial, business, legislative, regulatory, and other factors beyond our control. We may be unable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w:t>
      </w:r>
    </w:p>
    <w:p>
      <w:pPr>
        <w:spacing w:after="0" w:line="20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If we cannot make scheduled payments on our debt, we will be in default. 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80"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June 30, 2020, a hypothetical 100 basis point increase in rates, inclusive of our outstanding interest rate swaps, would result in an increase of interest expense of approximately $0.3 million over the next 12 months.</w:t>
      </w:r>
    </w:p>
    <w:p>
      <w:pPr>
        <w:spacing w:after="0" w:line="18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Purchasers of customized products may not choose to shop online, which would limit our acquisition of new customers that are necessary to the success of our business.</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Most of our businesses sell our products and services primarily through the Internet. Because the online market for most of our products and services is not mature, our success depends in part on our ability to attract customers who have historically purchased products and services we offer through offline channels. Specific factors that could prevent prospective customers from purchasing from us online include the following:</w:t>
      </w:r>
    </w:p>
    <w:p>
      <w:pPr>
        <w:spacing w:after="0" w:line="20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about buying customized products without face-to-face interaction with design or sales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 before making a purchase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delayed or lost shipments or shipments of incorrect or damaged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desire to support and buy from local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access to the Internet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225"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In addition, our internal research shows that an increasing number of current and potential customers access our websites using smart phones or tablets and that our website visits using traditional computers may decline. Designing and purchasing custom designed products on a smart phone, tablet, or other mobile device is more difficult than doing so with a traditional computer due to limited screen sizes and bandwidth constraints, and we are seeing that customers' increased use of mobile devices to access and use our websites and technologies is having a negative impact on conversion rates, especially in our Vistaprint business, which can lead to a decline in revenue.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Border controls and duties and restrictions on cross-border commerce may negatively impact our business.</w:t>
      </w:r>
    </w:p>
    <w:p>
      <w:pPr>
        <w:spacing w:after="0" w:line="247"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Many governments impose restrictions on shipping goods into their countries, as well as protectionist measures such as customs duties and tariffs that may apply directly to product categories comprising a material portion of our revenues. The customs laws, rules and regulations that we are required to comply with are complex and subject to unpredictable enforcement and modification. As a result of these restrictions, we have from time to time experienced delays in shipping our manufactured products into certain countries, and changes in cross-border regulations could have a significant negative effect on our business. For example, the current United States administration has made, and may continue to make, major changes in trade policy between the United States and other countries, such as the imposition of additional tariffs and duties on imported products, and has suggested closing the border between the United States and Mexico. Because we produce most physical products for our United States customers at our facilities in Canada and Mexico and we source most materials for our products outside the United States, including material amounts of sourcing from China, future changes in tax policy or trade relations could adversely affect our business and results of operations.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9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8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most of our businesses depend primarily on the Internet for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549" w:right="359" w:bottom="1440" w:gutter="0" w:footer="0" w:header="0"/>
        </w:sectPr>
      </w:pPr>
    </w:p>
    <w:bookmarkStart w:id="26" w:name="page27"/>
    <w:bookmarkEnd w:id="26"/>
    <w:p>
      <w:pPr>
        <w:ind w:right="140"/>
        <w:spacing w:after="0" w:line="268"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9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Because of our focus on automation and high volumes, most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were to become legally obligated to perform manual screening of customer orders, our costs would increase significantly, and we could be required to pay substantial penalties or monetary damages for any failure in our screening process.</w:t>
      </w:r>
    </w:p>
    <w:p>
      <w:pPr>
        <w:spacing w:after="0" w:line="18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We may be subject to product liability or environmental compliance claims if people, property, or the environment are harmed by the products we sell.</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the products we sell, including products manufactured or supplied by third-party business partners, may expose us to product liability or environmental compliance claims relating to issues such as personal injury, death, property damage, or the use or disposal of environmentally harmful substances and may require product recalls or other actions. Any claims, litigation, or recalls could be costly to us and damage our brands and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collect indirect taxes in all jurisdictions, which could expose us to tax liabilities.</w:t>
      </w:r>
    </w:p>
    <w:p>
      <w:pPr>
        <w:spacing w:after="0" w:line="24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In some of the jurisdictions where we sell products and services, we do not collect or have imposed upon us sales, value added or other consumption taxes, which we refer to as indirect taxes. The application of indirect taxes to e-commerce businesses such as Cimpress is a complex and evolving issue, and in many cases, it is not clear how existing tax statutes apply to the Internet or e-commerce. If a government entity claims that we should have been collecting indirect taxes on the sale of our products in a jurisdiction where we have not been doing so, then we could incur substantial tax liabilities for past sales.</w:t>
      </w:r>
    </w:p>
    <w:p>
      <w:pPr>
        <w:spacing w:after="0" w:line="20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For example, some of our businesses do not currently collect sales tax in all U.S. states where they sell products. Many state governments in the United States have imposed or are seeking to impose sales tax collection responsibility on out-of-state, online retailers, and the U.S. Supreme Court ruling in South Dakota v. Wayfair, Inc. et al. enables states to consider adopting laws requiring remote sellers to collect and remit sales tax, even in states in which the seller has no physical presence. To the extent that individual states decide to adopt similar legislation, this could significantly increase the collection and compliance burden on Cimpress businesses operating in the U.S. In addition, there is risk that a state government in which a Cimpress business currently is not registered to collect and remit sales tax may attempt to assess tax, interest and penalties relating to prior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focus on environmental sustainability could adversely affect our business, operations, and financial results.</w:t>
      </w:r>
    </w:p>
    <w:p>
      <w:pPr>
        <w:spacing w:after="0" w:line="247" w:lineRule="exact"/>
        <w:rPr>
          <w:sz w:val="20"/>
          <w:szCs w:val="20"/>
          <w:color w:val="auto"/>
        </w:rPr>
      </w:pPr>
    </w:p>
    <w:p>
      <w:pPr>
        <w:ind w:right="340" w:firstLine="648"/>
        <w:spacing w:after="0" w:line="254" w:lineRule="auto"/>
        <w:rPr>
          <w:sz w:val="20"/>
          <w:szCs w:val="20"/>
          <w:color w:val="auto"/>
        </w:rPr>
      </w:pPr>
      <w:r>
        <w:rPr>
          <w:rFonts w:ascii="Arial" w:cs="Arial" w:eastAsia="Arial" w:hAnsi="Arial"/>
          <w:sz w:val="18"/>
          <w:szCs w:val="18"/>
          <w:color w:val="auto"/>
        </w:rPr>
        <w:t>We face risks arising from the increased public focus, including by governmental and nongovernmental organizations, on climate change and environmental sustainability matters, such as packaging and waste, deforestation, and land use. We may face increased pressure to make commitments, set targets, or establish additional goals and take actions to meet them beyond our current plans or be required to comply with new laws and requirements that may require significant expenditures.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333" w:right="3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are an Irish public limited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plc group should be subject to income or other tax in their respective jurisdictions, which could result in an increase to our effective tax rate and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In addition to the passage of the CARES Act in the United States, there are currently multiple initiatives for comprehensive tax reform underway in key jurisdictions where we have operations, and we cannot predict whether any other specific legislation will be enacted or the terms of any such legislation. However, if such legislation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An example of these changes in tax laws would include the U.S. Tax Cuts and Jobs Act (TCJA) which was signed into law on December 22, 2017, significantly altering the US Internal Revenue Code. Guidance continues to be issued clarifying the application of this new legislation. We cannot predict the overall impact that the additional guidance may have on our business, but we continue to analyze how the TCJA, and any regulations or other governmental action with respect thereto, may impact our business and results of operations. It is reasonable to expect that global taxing authorities will be reviewing current legislation for potential modifications in reaction to the implementation of the TCJA. We also continue to assess the impact of the U.S. CARES Act.</w:t>
      </w:r>
    </w:p>
    <w:p>
      <w:pPr>
        <w:spacing w:after="0" w:line="208"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Changes in the tax laws of other jurisdictions could arise, including as a result of the base erosion and profit shifting (BEPS) project undertaken by the Organization for Economic Cooperation and Development (OECD). The OECD, which represents a coalition of member countries, has issued recommendations that, in some cases, would make substantial changes to numerous long-standing tax positions and principles. These contemplated changes, to the extent adopted by OECD members and/or other countries, could increase tax uncertainty and may adversely impact our provision for income taxes.</w:t>
      </w:r>
    </w:p>
    <w:p>
      <w:pPr>
        <w:spacing w:after="0" w:line="18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operate pursuant to written transfer pricing agreements among Cimpress plc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333" w:right="359" w:bottom="1440" w:gutter="0" w:footer="0" w:header="0"/>
        </w:sectPr>
      </w:pPr>
    </w:p>
    <w:bookmarkStart w:id="28" w:name="page29"/>
    <w:bookmarkEnd w:id="28"/>
    <w:p>
      <w:pPr>
        <w:ind w:right="10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incorporated under the laws of Ireland. There can be no assurance that the courts of Ireland would recognize or enforce judgments of U.S. courts obtained against us or our directors or officers based on the civil liabilities provisions of the U.S. federal or state securities laws or that the courts of Ireland hear actions against us or those persons based on those laws. There is currently no treaty between the U.S. and Ireland providing for the reciprocal recognition and enforcement of judgments in civil and commercial matters, and Irish common law rules govern the process by which a U.S. judgment will be enforced in Ireland. Therefore, a final judgment for the payment of money rendered by any U.S. federal or state court based on civil liability, whether or not based solely on U.S. federal or state securities laws, would not automatically or necessarily be enforceable in Ireland.</w:t>
      </w:r>
    </w:p>
    <w:p>
      <w:pPr>
        <w:spacing w:after="0" w:line="207" w:lineRule="exact"/>
        <w:rPr>
          <w:sz w:val="20"/>
          <w:szCs w:val="20"/>
          <w:color w:val="auto"/>
        </w:rPr>
      </w:pPr>
    </w:p>
    <w:p>
      <w:pPr>
        <w:jc w:val="both"/>
        <w:ind w:right="140" w:firstLine="648"/>
        <w:spacing w:after="0" w:line="254" w:lineRule="auto"/>
        <w:rPr>
          <w:sz w:val="20"/>
          <w:szCs w:val="20"/>
          <w:color w:val="auto"/>
        </w:rPr>
      </w:pPr>
      <w:r>
        <w:rPr>
          <w:rFonts w:ascii="Arial" w:cs="Arial" w:eastAsia="Arial" w:hAnsi="Arial"/>
          <w:sz w:val="18"/>
          <w:szCs w:val="18"/>
          <w:color w:val="auto"/>
        </w:rPr>
        <w:t>In addition, because most of our assets are located outside of the United States and some of our directors and management reside outside of the United States, it could be difficult for investors to place a lien on our assets or those of our directors and officers in connection with a claim of liability under U.S. laws. As a result, it may be difficult for investors to enforce U.S. court judgments or rights predicated upon U.S. laws against us or our management team outside of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past purchases of our ordinary shares could subject our shareholders to Dutch withholding tax.</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Before becoming an Irish tax resident company, Cimpress’ publicly traded parent company was subject to Dutch tax laws, including the 15% Dutch withholding tax that may be levied on dividends and similar distributions made by Cimpress to its shareholders, and during that time we purchased a number of our ordinary shares. Under our Dutch Advanced Tax Ruling, a purchase of shares should not result in any Dutch withholding tax if we hold the purchased shares in treasury for the purpose of issuing shares pursuant to employee share awards or for the funding of acquisitions. However, if the shares cannot be used for these purposes, or the Dutch tax authorities successfully challenge the use of the shares for these purposes, such a purchase of shares may be treated as a partial liquidation subject to the 15% Dutch withholding tax to be levied on the difference between our average paid in capital per share for Dutch tax purposes and the redemption price per share, if higher.</w:t>
      </w:r>
    </w:p>
    <w:p>
      <w:pPr>
        <w:spacing w:after="0" w:line="18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believe that we were not a PFIC for the tax year ended June 30, 2020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80" w:lineRule="exact"/>
        <w:rPr>
          <w:sz w:val="20"/>
          <w:szCs w:val="20"/>
          <w:color w:val="auto"/>
        </w:rPr>
      </w:pPr>
    </w:p>
    <w:p>
      <w:pPr>
        <w:jc w:val="both"/>
        <w:ind w:right="480"/>
        <w:spacing w:after="0" w:line="318" w:lineRule="auto"/>
        <w:rPr>
          <w:sz w:val="20"/>
          <w:szCs w:val="20"/>
          <w:color w:val="auto"/>
        </w:rPr>
      </w:pPr>
      <w:r>
        <w:rPr>
          <w:rFonts w:ascii="Arial" w:cs="Arial" w:eastAsia="Arial" w:hAnsi="Arial"/>
          <w:sz w:val="17"/>
          <w:szCs w:val="17"/>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5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33" w:right="339" w:bottom="1440" w:gutter="0" w:footer="0" w:header="0"/>
        </w:sectPr>
      </w:pPr>
    </w:p>
    <w:bookmarkStart w:id="29" w:name="page30"/>
    <w:bookmarkEnd w:id="29"/>
    <w:p>
      <w:pPr>
        <w:ind w:right="40"/>
        <w:spacing w:after="0" w:line="256" w:lineRule="auto"/>
        <w:rPr>
          <w:sz w:val="20"/>
          <w:szCs w:val="20"/>
          <w:color w:val="auto"/>
        </w:rPr>
      </w:pPr>
      <w:r>
        <w:rPr>
          <w:rFonts w:ascii="Arial" w:cs="Arial" w:eastAsia="Arial" w:hAnsi="Arial"/>
          <w:sz w:val="18"/>
          <w:szCs w:val="18"/>
          <w:color w:val="auto"/>
        </w:rPr>
        <w:t>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20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205"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Approximately 85% of our ordinary shares are held by our top 10 shareholders, and we may repurchase shares in the future (subject to the restrictions in our debt documents),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real property including the following manufacturing operations that provide support across our businesses:</w:t>
      </w:r>
    </w:p>
    <w:p>
      <w:pPr>
        <w:spacing w:after="0" w:line="9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582,000 square foot facility located near Windsor, Ontario, Canada that primarily services our Vistaprint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492,000 square foot facility located in Shelbyville, Tennessee, USA, that primarily services our National Pen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362,000 square foot facility located in Venlo, the Netherlands that primarily services our Vistaprint business.</w:t>
      </w:r>
    </w:p>
    <w:p>
      <w:pPr>
        <w:spacing w:after="0" w:line="63"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130,000 square foot facility located in Kisarazu, Japan that primarily services our Vistaprint and National Pen businesses in the Japanese market.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124,000 square foot facility located in Deer Park, Australia that primarily services our Vistaprint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97,000 square foot facility, located near Montpellier, France that primarily services The Print Group businesses.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355" w:right="35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As of June 30, 2020, a summary of our currently occupied leased spaces is as follows:</w:t>
      </w:r>
    </w:p>
    <w:p>
      <w:pPr>
        <w:spacing w:after="0" w:line="150" w:lineRule="exact"/>
        <w:rPr>
          <w:sz w:val="20"/>
          <w:szCs w:val="20"/>
          <w:color w:val="auto"/>
        </w:rPr>
      </w:pPr>
    </w:p>
    <w:p>
      <w:pPr>
        <w:ind w:left="40"/>
        <w:spacing w:after="0"/>
        <w:tabs>
          <w:tab w:leader="none" w:pos="1940" w:val="left"/>
          <w:tab w:leader="none" w:pos="3180" w:val="left"/>
          <w:tab w:leader="none" w:pos="8120" w:val="left"/>
        </w:tabs>
        <w:rPr>
          <w:sz w:val="20"/>
          <w:szCs w:val="20"/>
          <w:color w:val="auto"/>
        </w:rPr>
      </w:pPr>
      <w:r>
        <w:rPr>
          <w:rFonts w:ascii="Arial" w:cs="Arial" w:eastAsia="Arial" w:hAnsi="Arial"/>
          <w:sz w:val="13"/>
          <w:szCs w:val="13"/>
          <w:b w:val="1"/>
          <w:bCs w:val="1"/>
          <w:color w:val="auto"/>
        </w:rPr>
        <w:t>Business Segment (1)</w:t>
      </w:r>
      <w:r>
        <w:rPr>
          <w:sz w:val="20"/>
          <w:szCs w:val="20"/>
          <w:color w:val="auto"/>
        </w:rPr>
        <w:tab/>
      </w:r>
      <w:r>
        <w:rPr>
          <w:rFonts w:ascii="Arial" w:cs="Arial" w:eastAsia="Arial" w:hAnsi="Arial"/>
          <w:sz w:val="13"/>
          <w:szCs w:val="13"/>
          <w:b w:val="1"/>
          <w:bCs w:val="1"/>
          <w:color w:val="auto"/>
        </w:rPr>
        <w:t>Square Feet</w:t>
      </w:r>
      <w:r>
        <w:rPr>
          <w:sz w:val="20"/>
          <w:szCs w:val="20"/>
          <w:color w:val="auto"/>
        </w:rPr>
        <w:tab/>
      </w:r>
      <w:r>
        <w:rPr>
          <w:rFonts w:ascii="Arial" w:cs="Arial" w:eastAsia="Arial" w:hAnsi="Arial"/>
          <w:sz w:val="13"/>
          <w:szCs w:val="13"/>
          <w:b w:val="1"/>
          <w:bCs w:val="1"/>
          <w:color w:val="auto"/>
        </w:rPr>
        <w:t>Type</w:t>
      </w:r>
      <w:r>
        <w:rPr>
          <w:sz w:val="20"/>
          <w:szCs w:val="20"/>
          <w:color w:val="auto"/>
        </w:rPr>
        <w:tab/>
      </w:r>
      <w:r>
        <w:rPr>
          <w:rFonts w:ascii="Arial" w:cs="Arial" w:eastAsia="Arial" w:hAnsi="Arial"/>
          <w:sz w:val="12"/>
          <w:szCs w:val="12"/>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ind w:left="40"/>
              <w:spacing w:after="0"/>
              <w:rPr>
                <w:sz w:val="20"/>
                <w:szCs w:val="20"/>
                <w:color w:val="auto"/>
              </w:rPr>
            </w:pPr>
            <w:r>
              <w:rPr>
                <w:rFonts w:ascii="Arial" w:cs="Arial" w:eastAsia="Arial" w:hAnsi="Arial"/>
                <w:sz w:val="16"/>
                <w:szCs w:val="16"/>
                <w:color w:val="auto"/>
              </w:rPr>
              <w:t>Vistaprint</w:t>
            </w:r>
          </w:p>
        </w:tc>
        <w:tc>
          <w:tcPr>
            <w:tcW w:w="1080" w:type="dxa"/>
            <w:vAlign w:val="bottom"/>
          </w:tcPr>
          <w:p>
            <w:pPr>
              <w:jc w:val="right"/>
              <w:spacing w:after="0"/>
              <w:rPr>
                <w:sz w:val="20"/>
                <w:szCs w:val="20"/>
                <w:color w:val="auto"/>
              </w:rPr>
            </w:pPr>
            <w:r>
              <w:rPr>
                <w:rFonts w:ascii="Arial" w:cs="Arial" w:eastAsia="Arial" w:hAnsi="Arial"/>
                <w:sz w:val="16"/>
                <w:szCs w:val="16"/>
                <w:color w:val="auto"/>
              </w:rPr>
              <w:t>1,029,427</w:t>
            </w:r>
          </w:p>
        </w:tc>
      </w:tr>
      <w:tr>
        <w:trPr>
          <w:trHeight w:val="432"/>
        </w:trPr>
        <w:tc>
          <w:tcPr>
            <w:tcW w:w="1880" w:type="dxa"/>
            <w:vAlign w:val="bottom"/>
          </w:tcPr>
          <w:p>
            <w:pPr>
              <w:ind w:left="40"/>
              <w:spacing w:after="0"/>
              <w:rPr>
                <w:sz w:val="20"/>
                <w:szCs w:val="20"/>
                <w:color w:val="auto"/>
              </w:rPr>
            </w:pPr>
            <w:r>
              <w:rPr>
                <w:rFonts w:ascii="Arial" w:cs="Arial" w:eastAsia="Arial" w:hAnsi="Arial"/>
                <w:sz w:val="16"/>
                <w:szCs w:val="16"/>
                <w:color w:val="auto"/>
              </w:rPr>
              <w:t>PrintBrothers</w:t>
            </w:r>
          </w:p>
        </w:tc>
        <w:tc>
          <w:tcPr>
            <w:tcW w:w="1080" w:type="dxa"/>
            <w:vAlign w:val="bottom"/>
          </w:tcPr>
          <w:p>
            <w:pPr>
              <w:jc w:val="right"/>
              <w:spacing w:after="0"/>
              <w:rPr>
                <w:sz w:val="20"/>
                <w:szCs w:val="20"/>
                <w:color w:val="auto"/>
              </w:rPr>
            </w:pPr>
            <w:r>
              <w:rPr>
                <w:rFonts w:ascii="Arial" w:cs="Arial" w:eastAsia="Arial" w:hAnsi="Arial"/>
                <w:sz w:val="16"/>
                <w:szCs w:val="16"/>
                <w:color w:val="auto"/>
              </w:rPr>
              <w:t>301,393</w:t>
            </w:r>
          </w:p>
        </w:tc>
      </w:tr>
      <w:tr>
        <w:trPr>
          <w:trHeight w:val="432"/>
        </w:trPr>
        <w:tc>
          <w:tcPr>
            <w:tcW w:w="1880" w:type="dxa"/>
            <w:vAlign w:val="bottom"/>
          </w:tcPr>
          <w:p>
            <w:pPr>
              <w:ind w:left="40"/>
              <w:spacing w:after="0"/>
              <w:rPr>
                <w:sz w:val="20"/>
                <w:szCs w:val="20"/>
                <w:color w:val="auto"/>
              </w:rPr>
            </w:pPr>
            <w:r>
              <w:rPr>
                <w:rFonts w:ascii="Arial" w:cs="Arial" w:eastAsia="Arial" w:hAnsi="Arial"/>
                <w:sz w:val="16"/>
                <w:szCs w:val="16"/>
                <w:color w:val="auto"/>
              </w:rPr>
              <w:t>The Print Group</w:t>
            </w:r>
          </w:p>
        </w:tc>
        <w:tc>
          <w:tcPr>
            <w:tcW w:w="1080" w:type="dxa"/>
            <w:vAlign w:val="bottom"/>
          </w:tcPr>
          <w:p>
            <w:pPr>
              <w:jc w:val="right"/>
              <w:spacing w:after="0"/>
              <w:rPr>
                <w:sz w:val="20"/>
                <w:szCs w:val="20"/>
                <w:color w:val="auto"/>
              </w:rPr>
            </w:pPr>
            <w:r>
              <w:rPr>
                <w:rFonts w:ascii="Arial" w:cs="Arial" w:eastAsia="Arial" w:hAnsi="Arial"/>
                <w:sz w:val="16"/>
                <w:szCs w:val="16"/>
                <w:color w:val="auto"/>
              </w:rPr>
              <w:t>423,098</w:t>
            </w:r>
          </w:p>
        </w:tc>
      </w:tr>
      <w:tr>
        <w:trPr>
          <w:trHeight w:val="351"/>
        </w:trPr>
        <w:tc>
          <w:tcPr>
            <w:tcW w:w="1880" w:type="dxa"/>
            <w:vAlign w:val="bottom"/>
          </w:tcPr>
          <w:p>
            <w:pPr>
              <w:ind w:left="40"/>
              <w:spacing w:after="0"/>
              <w:rPr>
                <w:sz w:val="20"/>
                <w:szCs w:val="20"/>
                <w:color w:val="auto"/>
              </w:rPr>
            </w:pPr>
            <w:r>
              <w:rPr>
                <w:rFonts w:ascii="Arial" w:cs="Arial" w:eastAsia="Arial" w:hAnsi="Arial"/>
                <w:sz w:val="16"/>
                <w:szCs w:val="16"/>
                <w:color w:val="auto"/>
              </w:rPr>
              <w:t>National Pen</w:t>
            </w:r>
          </w:p>
        </w:tc>
        <w:tc>
          <w:tcPr>
            <w:tcW w:w="1080" w:type="dxa"/>
            <w:vAlign w:val="bottom"/>
          </w:tcPr>
          <w:p>
            <w:pPr>
              <w:jc w:val="right"/>
              <w:spacing w:after="0"/>
              <w:rPr>
                <w:sz w:val="20"/>
                <w:szCs w:val="20"/>
                <w:color w:val="auto"/>
              </w:rPr>
            </w:pPr>
            <w:r>
              <w:rPr>
                <w:rFonts w:ascii="Arial" w:cs="Arial" w:eastAsia="Arial" w:hAnsi="Arial"/>
                <w:sz w:val="16"/>
                <w:szCs w:val="16"/>
                <w:color w:val="auto"/>
              </w:rPr>
              <w:t>376,324</w:t>
            </w:r>
          </w:p>
        </w:tc>
      </w:tr>
      <w:tr>
        <w:trPr>
          <w:trHeight w:val="351"/>
        </w:trPr>
        <w:tc>
          <w:tcPr>
            <w:tcW w:w="1880" w:type="dxa"/>
            <w:vAlign w:val="bottom"/>
          </w:tcPr>
          <w:p>
            <w:pPr>
              <w:ind w:left="40"/>
              <w:spacing w:after="0"/>
              <w:rPr>
                <w:sz w:val="20"/>
                <w:szCs w:val="20"/>
                <w:color w:val="auto"/>
              </w:rPr>
            </w:pPr>
            <w:r>
              <w:rPr>
                <w:rFonts w:ascii="Arial" w:cs="Arial" w:eastAsia="Arial" w:hAnsi="Arial"/>
                <w:sz w:val="16"/>
                <w:szCs w:val="16"/>
                <w:color w:val="auto"/>
              </w:rPr>
              <w:t>All Other Businesses</w:t>
            </w:r>
          </w:p>
        </w:tc>
        <w:tc>
          <w:tcPr>
            <w:tcW w:w="1080" w:type="dxa"/>
            <w:vAlign w:val="bottom"/>
          </w:tcPr>
          <w:p>
            <w:pPr>
              <w:jc w:val="right"/>
              <w:spacing w:after="0"/>
              <w:rPr>
                <w:sz w:val="20"/>
                <w:szCs w:val="20"/>
                <w:color w:val="auto"/>
              </w:rPr>
            </w:pPr>
            <w:r>
              <w:rPr>
                <w:rFonts w:ascii="Arial" w:cs="Arial" w:eastAsia="Arial" w:hAnsi="Arial"/>
                <w:sz w:val="16"/>
                <w:szCs w:val="16"/>
                <w:color w:val="auto"/>
              </w:rPr>
              <w:t>546,501</w:t>
            </w:r>
          </w:p>
        </w:tc>
      </w:tr>
      <w:tr>
        <w:trPr>
          <w:trHeight w:val="351"/>
        </w:trPr>
        <w:tc>
          <w:tcPr>
            <w:tcW w:w="1880" w:type="dxa"/>
            <w:vAlign w:val="bottom"/>
          </w:tcPr>
          <w:p>
            <w:pPr>
              <w:ind w:left="40"/>
              <w:spacing w:after="0"/>
              <w:rPr>
                <w:sz w:val="20"/>
                <w:szCs w:val="20"/>
                <w:color w:val="auto"/>
              </w:rPr>
            </w:pPr>
            <w:r>
              <w:rPr>
                <w:rFonts w:ascii="Arial" w:cs="Arial" w:eastAsia="Arial" w:hAnsi="Arial"/>
                <w:sz w:val="16"/>
                <w:szCs w:val="16"/>
                <w:color w:val="auto"/>
              </w:rPr>
              <w:t>Other (2)</w:t>
            </w:r>
          </w:p>
        </w:tc>
        <w:tc>
          <w:tcPr>
            <w:tcW w:w="1080" w:type="dxa"/>
            <w:vAlign w:val="bottom"/>
          </w:tcPr>
          <w:p>
            <w:pPr>
              <w:jc w:val="right"/>
              <w:spacing w:after="0"/>
              <w:rPr>
                <w:sz w:val="20"/>
                <w:szCs w:val="20"/>
                <w:color w:val="auto"/>
              </w:rPr>
            </w:pPr>
            <w:r>
              <w:rPr>
                <w:rFonts w:ascii="Arial" w:cs="Arial" w:eastAsia="Arial" w:hAnsi="Arial"/>
                <w:sz w:val="16"/>
                <w:szCs w:val="16"/>
                <w:color w:val="auto"/>
              </w:rPr>
              <w:t>83,140</w:t>
            </w:r>
          </w:p>
        </w:tc>
      </w:tr>
      <w:tr>
        <w:trPr>
          <w:trHeight w:val="210"/>
        </w:trPr>
        <w:tc>
          <w:tcPr>
            <w:tcW w:w="1880" w:type="dxa"/>
            <w:vAlign w:val="bottom"/>
          </w:tcPr>
          <w:p>
            <w:pPr>
              <w:spacing w:after="0"/>
              <w:rPr>
                <w:sz w:val="20"/>
                <w:szCs w:val="20"/>
                <w:color w:val="auto"/>
              </w:rPr>
            </w:pPr>
            <w:r>
              <w:rPr>
                <w:rFonts w:ascii="Arial" w:cs="Arial" w:eastAsia="Arial" w:hAnsi="Arial"/>
                <w:sz w:val="14"/>
                <w:szCs w:val="14"/>
                <w:color w:val="auto"/>
              </w:rPr>
              <w:t>___________________</w:t>
            </w:r>
          </w:p>
        </w:tc>
        <w:tc>
          <w:tcPr>
            <w:tcW w:w="10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2540</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3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2540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Marketing, customer service, manufacturing and administrative</w:t>
      </w:r>
    </w:p>
    <w:p>
      <w:pPr>
        <w:spacing w:after="0" w:line="73"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2540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Corporate strategy and technology development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August 2020 - November 2034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December 2020 - December 2025</w:t>
      </w:r>
    </w:p>
    <w:p>
      <w:pPr>
        <w:spacing w:after="0" w:line="248" w:lineRule="exact"/>
        <w:rPr>
          <w:sz w:val="20"/>
          <w:szCs w:val="20"/>
          <w:color w:val="auto"/>
        </w:rPr>
      </w:pPr>
    </w:p>
    <w:p>
      <w:pPr>
        <w:ind w:right="1160"/>
        <w:spacing w:after="0" w:line="462" w:lineRule="auto"/>
        <w:rPr>
          <w:sz w:val="20"/>
          <w:szCs w:val="20"/>
          <w:color w:val="auto"/>
        </w:rPr>
      </w:pPr>
      <w:r>
        <w:rPr>
          <w:rFonts w:ascii="Arial" w:cs="Arial" w:eastAsia="Arial" w:hAnsi="Arial"/>
          <w:sz w:val="16"/>
          <w:szCs w:val="16"/>
          <w:color w:val="auto"/>
        </w:rPr>
        <w:t>July 2020 - June 2034 July 2020 -December 2027 July 2020 - July 2025 July 2020 - June 2023</w:t>
      </w:r>
    </w:p>
    <w:p>
      <w:pPr>
        <w:spacing w:after="0" w:line="111" w:lineRule="exact"/>
        <w:rPr>
          <w:sz w:val="20"/>
          <w:szCs w:val="20"/>
          <w:color w:val="auto"/>
        </w:rPr>
      </w:pPr>
    </w:p>
    <w:p>
      <w:pPr>
        <w:sectPr>
          <w:pgSz w:w="11900" w:h="16838" w:orient="portrait"/>
          <w:cols w:equalWidth="0" w:num="3">
            <w:col w:w="2960" w:space="240"/>
            <w:col w:w="4500" w:space="440"/>
            <w:col w:w="3100"/>
          </w:cols>
          <w:pgMar w:left="320" w:top="355" w:right="339" w:bottom="1440" w:gutter="0" w:footer="0" w:header="0"/>
          <w:type w:val="continuous"/>
        </w:sect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Many of our leased properties are utilized by multiple business segments, but each have been assigned to the segment that occupies the majority of our leased space.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locations that are used exclusively for corporate or central function activities.</w:t>
      </w:r>
    </w:p>
    <w:p>
      <w:pPr>
        <w:spacing w:after="0" w:line="157"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We believe that the total space available to us in the facilities we own or lease, and space that is obtainable by us on commercially reasonable terms, will meet our needs for the foreseeable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12" w:lineRule="exact"/>
        <w:rPr>
          <w:sz w:val="20"/>
          <w:szCs w:val="20"/>
          <w:color w:val="auto"/>
        </w:rPr>
      </w:pPr>
    </w:p>
    <w:p>
      <w:pPr>
        <w:ind w:right="580" w:firstLine="648"/>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Item 8 of Part II, “Financial Statements and Supplementary Data — Note 18 — Commitments and Contingencies,” in the accompanying notes to the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07"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The ordinary shares of Cimpress plc are traded on the NASDAQ Global Select Market (the "NASDAQ") under the symbol “CMPR.” As of July 31, 2020, there were approximately 12 holders of record of our ordinary shares, although there is a much larger number of beneficial owners.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8" w:lineRule="exact"/>
        <w:rPr>
          <w:sz w:val="20"/>
          <w:szCs w:val="20"/>
          <w:color w:val="auto"/>
        </w:rPr>
      </w:pPr>
    </w:p>
    <w:p>
      <w:pPr>
        <w:ind w:right="200" w:firstLine="661"/>
        <w:spacing w:after="0" w:line="261"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in the foreseeable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08"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November 25, 2019, we announced that our Board had authorized us to repurchase up to 5,500,000 of our issued and outstanding ordinary shares on the open market (including block trades), through privately negotiated transactions, or in one or more self-tender offers. This repurchase program expires on May 22, 2021, and we may suspend or discontinue our share repurchases at any time. On April 28, 2020, we entered into an amendment to our senior secured credit agreement, which suspended our pre-existing financial maintenance covenants in addition to prohibiting us from repurchasing our shares during the suspension period. Refer to Note 10 in our accompanying consolidated financial statements for additional information.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ordinary shares during the three months ended June 30, 2020 under the program 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43"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 following graph compares the cumulative total return to shareholders of Cimpress plc ordinary shares relative to the cumulative total returns of the NASDAQ Composite index and the Research Data Group (RDG)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55" w:right="339" w:bottom="1440" w:gutter="0" w:footer="0" w:header="0"/>
          <w:type w:val="continuous"/>
        </w:sectPr>
      </w:pPr>
    </w:p>
    <w:bookmarkStart w:id="31" w:name="page32"/>
    <w:bookmarkEnd w:id="31"/>
    <w:p>
      <w:pPr>
        <w:ind w:right="200"/>
        <w:spacing w:after="0" w:line="261" w:lineRule="auto"/>
        <w:rPr>
          <w:sz w:val="20"/>
          <w:szCs w:val="20"/>
          <w:color w:val="auto"/>
        </w:rPr>
      </w:pPr>
      <w:r>
        <w:rPr>
          <w:rFonts w:ascii="Arial" w:cs="Arial" w:eastAsia="Arial" w:hAnsi="Arial"/>
          <w:sz w:val="18"/>
          <w:szCs w:val="18"/>
          <w:color w:val="auto"/>
        </w:rPr>
        <w:t>Internet Composite index. An investment of $ 100 (with reinvestment of all dividends) is assumed to have been made in our ordinary shares and in each of the indexes on June 30, 2015 and the relative performance of each investment is tracked through June 30,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Cimpress plc, the NASDAQ Composite Index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the RDG Internet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121920</wp:posOffset>
            </wp:positionV>
            <wp:extent cx="5332095" cy="2794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320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26035</wp:posOffset>
            </wp:positionV>
            <wp:extent cx="3771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00" w:type="dxa"/>
            <w:vAlign w:val="bottom"/>
          </w:tcPr>
          <w:p>
            <w:pPr>
              <w:spacing w:after="0"/>
              <w:rPr>
                <w:sz w:val="15"/>
                <w:szCs w:val="15"/>
                <w:color w:val="auto"/>
              </w:rPr>
            </w:pP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2020</w:t>
            </w:r>
          </w:p>
        </w:tc>
      </w:tr>
      <w:tr>
        <w:trPr>
          <w:trHeight w:val="247"/>
        </w:trPr>
        <w:tc>
          <w:tcPr>
            <w:tcW w:w="5300" w:type="dxa"/>
            <w:vAlign w:val="bottom"/>
          </w:tcPr>
          <w:p>
            <w:pPr>
              <w:ind w:left="40"/>
              <w:spacing w:after="0"/>
              <w:rPr>
                <w:sz w:val="20"/>
                <w:szCs w:val="20"/>
                <w:color w:val="auto"/>
              </w:rPr>
            </w:pPr>
            <w:r>
              <w:rPr>
                <w:rFonts w:ascii="Arial" w:cs="Arial" w:eastAsia="Arial" w:hAnsi="Arial"/>
                <w:sz w:val="16"/>
                <w:szCs w:val="16"/>
                <w:color w:val="auto"/>
              </w:rPr>
              <w:t>Cimpress plc</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  100.00</w:t>
            </w:r>
          </w:p>
        </w:tc>
        <w:tc>
          <w:tcPr>
            <w:tcW w:w="12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  109.89</w:t>
            </w:r>
          </w:p>
        </w:tc>
        <w:tc>
          <w:tcPr>
            <w:tcW w:w="12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  112.32</w:t>
            </w:r>
          </w:p>
        </w:tc>
        <w:tc>
          <w:tcPr>
            <w:tcW w:w="12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  172.24</w:t>
            </w:r>
          </w:p>
        </w:tc>
        <w:tc>
          <w:tcPr>
            <w:tcW w:w="100" w:type="dxa"/>
            <w:vAlign w:val="bottom"/>
          </w:tcPr>
          <w:p>
            <w:pPr>
              <w:spacing w:after="0"/>
              <w:rPr>
                <w:sz w:val="21"/>
                <w:szCs w:val="21"/>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  108.00</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4"/>
              <w:spacing w:after="0"/>
              <w:rPr>
                <w:sz w:val="20"/>
                <w:szCs w:val="20"/>
                <w:color w:val="auto"/>
              </w:rPr>
            </w:pPr>
            <w:r>
              <w:rPr>
                <w:rFonts w:ascii="Arial" w:cs="Arial" w:eastAsia="Arial" w:hAnsi="Arial"/>
                <w:sz w:val="16"/>
                <w:szCs w:val="16"/>
                <w:color w:val="auto"/>
              </w:rPr>
              <w:t>90.71</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NASDAQ Composite</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98.32</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126.14</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155.91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168.04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213.32</w:t>
            </w:r>
          </w:p>
        </w:tc>
      </w:tr>
      <w:tr>
        <w:trPr>
          <w:trHeight w:val="250"/>
        </w:trPr>
        <w:tc>
          <w:tcPr>
            <w:tcW w:w="5300" w:type="dxa"/>
            <w:vAlign w:val="bottom"/>
          </w:tcPr>
          <w:p>
            <w:pPr>
              <w:ind w:left="40"/>
              <w:spacing w:after="0"/>
              <w:rPr>
                <w:sz w:val="20"/>
                <w:szCs w:val="20"/>
                <w:color w:val="auto"/>
              </w:rPr>
            </w:pPr>
            <w:r>
              <w:rPr>
                <w:rFonts w:ascii="Arial" w:cs="Arial" w:eastAsia="Arial" w:hAnsi="Arial"/>
                <w:sz w:val="16"/>
                <w:szCs w:val="16"/>
                <w:color w:val="auto"/>
              </w:rPr>
              <w:t>RDG Internet Composite</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118.36</w:t>
            </w:r>
          </w:p>
        </w:tc>
        <w:tc>
          <w:tcPr>
            <w:tcW w:w="12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164.81</w:t>
            </w:r>
          </w:p>
        </w:tc>
        <w:tc>
          <w:tcPr>
            <w:tcW w:w="120" w:type="dxa"/>
            <w:vAlign w:val="bottom"/>
          </w:tcPr>
          <w:p>
            <w:pPr>
              <w:spacing w:after="0"/>
              <w:rPr>
                <w:sz w:val="21"/>
                <w:szCs w:val="21"/>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231.41</w:t>
            </w:r>
          </w:p>
        </w:tc>
        <w:tc>
          <w:tcPr>
            <w:tcW w:w="100" w:type="dxa"/>
            <w:vAlign w:val="bottom"/>
          </w:tcPr>
          <w:p>
            <w:pPr>
              <w:spacing w:after="0"/>
              <w:rPr>
                <w:sz w:val="21"/>
                <w:szCs w:val="21"/>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234.61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4"/>
              <w:spacing w:after="0"/>
              <w:rPr>
                <w:sz w:val="20"/>
                <w:szCs w:val="20"/>
                <w:color w:val="auto"/>
              </w:rPr>
            </w:pPr>
            <w:r>
              <w:rPr>
                <w:rFonts w:ascii="Arial" w:cs="Arial" w:eastAsia="Arial" w:hAnsi="Arial"/>
                <w:sz w:val="16"/>
                <w:szCs w:val="16"/>
                <w:color w:val="auto"/>
              </w:rPr>
              <w:t>313.49</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 price performance included in this graph is not necessarily indicative of future share price performance.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5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0" w:lineRule="exact"/>
        <w:rPr>
          <w:sz w:val="20"/>
          <w:szCs w:val="20"/>
          <w:color w:val="auto"/>
        </w:rPr>
      </w:pPr>
    </w:p>
    <w:p>
      <w:pPr>
        <w:jc w:val="both"/>
        <w:ind w:right="180" w:firstLine="661"/>
        <w:spacing w:after="0" w:line="256" w:lineRule="auto"/>
        <w:rPr>
          <w:sz w:val="20"/>
          <w:szCs w:val="20"/>
          <w:color w:val="auto"/>
        </w:rPr>
      </w:pPr>
      <w:r>
        <w:rPr>
          <w:rFonts w:ascii="Arial" w:cs="Arial" w:eastAsia="Arial" w:hAnsi="Arial"/>
          <w:sz w:val="18"/>
          <w:szCs w:val="18"/>
          <w:color w:val="auto"/>
        </w:rPr>
        <w:t>The following financial data should be read in conjunction with our consolidated financial statements, the related notes and “Item 7. Management’s Discussion and Analysis of Financial Condition and Results of Operations” included elsewhere in this Report. The historical results are not necessarily indicative of the results to be expected for any future period.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264"/>
        </w:trPr>
        <w:tc>
          <w:tcPr>
            <w:tcW w:w="5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2020 (a)</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2019 (b)</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2018 (c)</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2017 (d)</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2016 (e)</w:t>
            </w:r>
          </w:p>
        </w:tc>
      </w:tr>
      <w:tr>
        <w:trPr>
          <w:trHeight w:val="181"/>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5"/>
          </w:tcPr>
          <w:p>
            <w:pPr>
              <w:ind w:left="140"/>
              <w:spacing w:after="0"/>
              <w:rPr>
                <w:sz w:val="20"/>
                <w:szCs w:val="20"/>
                <w:color w:val="auto"/>
              </w:rPr>
            </w:pPr>
            <w:r>
              <w:rPr>
                <w:rFonts w:ascii="Arial" w:cs="Arial" w:eastAsia="Arial" w:hAnsi="Arial"/>
                <w:sz w:val="13"/>
                <w:szCs w:val="13"/>
                <w:b w:val="1"/>
                <w:bCs w:val="1"/>
                <w:color w:val="auto"/>
              </w:rPr>
              <w:t>(In thousands, except share and per share data)</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180" w:type="dxa"/>
            <w:vAlign w:val="bottom"/>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2,481,358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2,751,076</w:t>
            </w:r>
          </w:p>
        </w:tc>
        <w:tc>
          <w:tcPr>
            <w:tcW w:w="3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2,592,541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2,135,405</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1,788,044</w:t>
            </w:r>
          </w:p>
        </w:tc>
      </w:tr>
      <w:tr>
        <w:trPr>
          <w:trHeight w:val="276"/>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Cimpress plc</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83,365</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95,052</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43,733</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(71,711)</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54,349</w:t>
            </w:r>
          </w:p>
        </w:tc>
      </w:tr>
      <w:tr>
        <w:trPr>
          <w:trHeight w:val="264"/>
        </w:trPr>
        <w:tc>
          <w:tcPr>
            <w:tcW w:w="5180" w:type="dxa"/>
            <w:vAlign w:val="bottom"/>
          </w:tcPr>
          <w:p>
            <w:pPr>
              <w:ind w:left="40"/>
              <w:spacing w:after="0"/>
              <w:rPr>
                <w:sz w:val="20"/>
                <w:szCs w:val="20"/>
                <w:color w:val="auto"/>
              </w:rPr>
            </w:pPr>
            <w:r>
              <w:rPr>
                <w:rFonts w:ascii="Arial" w:cs="Arial" w:eastAsia="Arial" w:hAnsi="Arial"/>
                <w:sz w:val="14"/>
                <w:szCs w:val="14"/>
                <w:color w:val="auto"/>
              </w:rPr>
              <w:t>Net income (loss) per share attributable to Cimpress plc:</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5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3.07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3.09</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1.41</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1.72</w:t>
            </w:r>
          </w:p>
        </w:tc>
      </w:tr>
      <w:tr>
        <w:trPr>
          <w:trHeight w:val="264"/>
        </w:trPr>
        <w:tc>
          <w:tcPr>
            <w:tcW w:w="5180" w:type="dxa"/>
            <w:vAlign w:val="bottom"/>
          </w:tcPr>
          <w:p>
            <w:pPr>
              <w:ind w:left="280"/>
              <w:spacing w:after="0"/>
              <w:rPr>
                <w:sz w:val="20"/>
                <w:szCs w:val="20"/>
                <w:color w:val="auto"/>
              </w:rPr>
            </w:pPr>
            <w:r>
              <w:rPr>
                <w:rFonts w:ascii="Arial" w:cs="Arial" w:eastAsia="Arial" w:hAnsi="Arial"/>
                <w:sz w:val="14"/>
                <w:szCs w:val="14"/>
                <w:color w:val="auto"/>
              </w:rPr>
              <w:t>Diluted (g)</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3.00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3.00</w:t>
            </w:r>
          </w:p>
        </w:tc>
        <w:tc>
          <w:tcPr>
            <w:tcW w:w="3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1.36</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(2.29)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1.64</w:t>
            </w:r>
          </w:p>
        </w:tc>
      </w:tr>
      <w:tr>
        <w:trPr>
          <w:trHeight w:val="200"/>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used in computing net income (loss) per share attributable to Cimpress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84"/>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plc:</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64"/>
        </w:trPr>
        <w:tc>
          <w:tcPr>
            <w:tcW w:w="5180" w:type="dxa"/>
            <w:vAlign w:val="bottom"/>
          </w:tcPr>
          <w:p>
            <w:pPr>
              <w:ind w:left="280"/>
              <w:spacing w:after="0"/>
              <w:rPr>
                <w:sz w:val="20"/>
                <w:szCs w:val="20"/>
                <w:color w:val="auto"/>
              </w:rPr>
            </w:pPr>
            <w:r>
              <w:rPr>
                <w:rFonts w:ascii="Arial" w:cs="Arial" w:eastAsia="Arial" w:hAnsi="Arial"/>
                <w:sz w:val="14"/>
                <w:szCs w:val="14"/>
                <w:color w:val="auto"/>
              </w:rPr>
              <w:t>Basic (f)</w:t>
            </w:r>
          </w:p>
        </w:tc>
        <w:tc>
          <w:tcPr>
            <w:tcW w:w="20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27,180,744</w:t>
            </w:r>
          </w:p>
        </w:tc>
        <w:tc>
          <w:tcPr>
            <w:tcW w:w="3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30,786,349</w:t>
            </w:r>
          </w:p>
        </w:tc>
        <w:tc>
          <w:tcPr>
            <w:tcW w:w="340" w:type="dxa"/>
            <w:vAlign w:val="bottom"/>
          </w:tcPr>
          <w:p>
            <w:pPr>
              <w:spacing w:after="0"/>
              <w:rPr>
                <w:sz w:val="22"/>
                <w:szCs w:val="22"/>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30,948,081</w:t>
            </w:r>
          </w:p>
        </w:tc>
        <w:tc>
          <w:tcPr>
            <w:tcW w:w="2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31,291,581</w:t>
            </w:r>
          </w:p>
        </w:tc>
        <w:tc>
          <w:tcPr>
            <w:tcW w:w="26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31,656,234</w:t>
            </w:r>
          </w:p>
        </w:tc>
      </w:tr>
      <w:tr>
        <w:trPr>
          <w:trHeight w:val="276"/>
        </w:trPr>
        <w:tc>
          <w:tcPr>
            <w:tcW w:w="5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 (g)</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27,773,286</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31,662,705</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32,220,401</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31,291,581</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33,049,454</w:t>
            </w:r>
          </w:p>
        </w:tc>
      </w:tr>
      <w:tr>
        <w:trPr>
          <w:trHeight w:val="533"/>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3"/>
        </w:trPr>
        <w:tc>
          <w:tcPr>
            <w:tcW w:w="5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2020 (a)</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2019 (b)</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2018 (c)</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2017 (d)</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2016 (e)</w:t>
            </w:r>
          </w:p>
        </w:tc>
      </w:tr>
      <w:tr>
        <w:trPr>
          <w:trHeight w:val="181"/>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(In thousands)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Cash Flows Data:</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18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338,444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331,095</w:t>
            </w:r>
          </w:p>
        </w:tc>
        <w:tc>
          <w:tcPr>
            <w:tcW w:w="3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192,332</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247,358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242,022</w:t>
            </w:r>
          </w:p>
        </w:tc>
      </w:tr>
      <w:tr>
        <w:trPr>
          <w:trHeight w:val="276"/>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(50,467)</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(70,563)</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(60,930)</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(74,157)</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(80,435)</w:t>
            </w:r>
          </w:p>
        </w:tc>
      </w:tr>
      <w:tr>
        <w:trPr>
          <w:trHeight w:val="264"/>
        </w:trPr>
        <w:tc>
          <w:tcPr>
            <w:tcW w:w="5180" w:type="dxa"/>
            <w:vAlign w:val="bottom"/>
          </w:tcPr>
          <w:p>
            <w:pPr>
              <w:ind w:left="40"/>
              <w:spacing w:after="0"/>
              <w:rPr>
                <w:sz w:val="20"/>
                <w:szCs w:val="20"/>
                <w:color w:val="auto"/>
              </w:rPr>
            </w:pPr>
            <w:r>
              <w:rPr>
                <w:rFonts w:ascii="Arial" w:cs="Arial" w:eastAsia="Arial" w:hAnsi="Arial"/>
                <w:sz w:val="14"/>
                <w:szCs w:val="14"/>
                <w:color w:val="auto"/>
              </w:rPr>
              <w:t>Purchases of ordinary shares</w:t>
            </w:r>
          </w:p>
        </w:tc>
        <w:tc>
          <w:tcPr>
            <w:tcW w:w="20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(627,056)</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(55,567)</w:t>
            </w:r>
          </w:p>
        </w:tc>
        <w:tc>
          <w:tcPr>
            <w:tcW w:w="340" w:type="dxa"/>
            <w:vAlign w:val="bottom"/>
          </w:tcPr>
          <w:p>
            <w:pPr>
              <w:spacing w:after="0"/>
              <w:rPr>
                <w:sz w:val="22"/>
                <w:szCs w:val="22"/>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(94,710)</w:t>
            </w:r>
          </w:p>
        </w:tc>
        <w:tc>
          <w:tcPr>
            <w:tcW w:w="22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(50,008)</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(153,467)</w:t>
            </w:r>
          </w:p>
        </w:tc>
      </w:tr>
      <w:tr>
        <w:trPr>
          <w:trHeight w:val="276"/>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 acquisitions, net of cash acquired</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(4,272)</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(289,920)</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(110)</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(204,875)</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(164,412)</w:t>
            </w:r>
          </w:p>
        </w:tc>
      </w:tr>
      <w:tr>
        <w:trPr>
          <w:trHeight w:val="194"/>
        </w:trPr>
        <w:tc>
          <w:tcPr>
            <w:tcW w:w="5180" w:type="dxa"/>
            <w:vAlign w:val="bottom"/>
          </w:tcPr>
          <w:p>
            <w:pPr>
              <w:ind w:left="40"/>
              <w:spacing w:after="0"/>
              <w:rPr>
                <w:sz w:val="20"/>
                <w:szCs w:val="20"/>
                <w:color w:val="auto"/>
              </w:rPr>
            </w:pPr>
            <w:r>
              <w:rPr>
                <w:rFonts w:ascii="Arial" w:cs="Arial" w:eastAsia="Arial" w:hAnsi="Arial"/>
                <w:sz w:val="14"/>
                <w:szCs w:val="14"/>
                <w:color w:val="auto"/>
              </w:rPr>
              <w:t>Proceeds from the sale of subsidiaries, net of transaction costs and cash</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8"/>
        </w:trPr>
        <w:tc>
          <w:tcPr>
            <w:tcW w:w="5180" w:type="dxa"/>
            <w:vAlign w:val="bottom"/>
          </w:tcPr>
          <w:p>
            <w:pPr>
              <w:ind w:left="40"/>
              <w:spacing w:after="0"/>
              <w:rPr>
                <w:sz w:val="20"/>
                <w:szCs w:val="20"/>
                <w:color w:val="auto"/>
              </w:rPr>
            </w:pPr>
            <w:r>
              <w:rPr>
                <w:rFonts w:ascii="Arial" w:cs="Arial" w:eastAsia="Arial" w:hAnsi="Arial"/>
                <w:sz w:val="14"/>
                <w:szCs w:val="14"/>
                <w:color w:val="auto"/>
              </w:rPr>
              <w:t>divested</w:t>
            </w:r>
          </w:p>
        </w:tc>
        <w:tc>
          <w:tcPr>
            <w:tcW w:w="20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(1,124)</w:t>
            </w:r>
          </w:p>
        </w:tc>
        <w:tc>
          <w:tcPr>
            <w:tcW w:w="30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93,779</w:t>
            </w:r>
          </w:p>
        </w:tc>
        <w:tc>
          <w:tcPr>
            <w:tcW w:w="220" w:type="dxa"/>
            <w:vAlign w:val="bottom"/>
          </w:tcPr>
          <w:p>
            <w:pPr>
              <w:spacing w:after="0"/>
              <w:rPr>
                <w:sz w:val="15"/>
                <w:szCs w:val="15"/>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proceeds (payments) of debt and debt issuance costs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426,086</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190,182</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(54,415)</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196,933</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167,316</w:t>
            </w:r>
          </w:p>
        </w:tc>
      </w:tr>
      <w:tr>
        <w:trPr>
          <w:trHeight w:val="318"/>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Year Ended June 30,</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5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2020 (a)</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2019 (b)</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2018 (c)</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2017 (d)</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2016 (e)</w:t>
            </w:r>
          </w:p>
        </w:tc>
      </w:tr>
      <w:tr>
        <w:trPr>
          <w:trHeight w:val="181"/>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(In thousands)</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78"/>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180" w:type="dxa"/>
            <w:vAlign w:val="bottom"/>
          </w:tcPr>
          <w:p>
            <w:pPr>
              <w:ind w:left="40"/>
              <w:spacing w:after="0"/>
              <w:rPr>
                <w:sz w:val="20"/>
                <w:szCs w:val="20"/>
                <w:color w:val="auto"/>
              </w:rPr>
            </w:pPr>
            <w:r>
              <w:rPr>
                <w:rFonts w:ascii="Arial" w:cs="Arial" w:eastAsia="Arial" w:hAnsi="Arial"/>
                <w:sz w:val="14"/>
                <w:szCs w:val="14"/>
                <w:color w:val="auto"/>
              </w:rPr>
              <w:t>Cash, cash equivalents and marketable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45,021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35,279</w:t>
            </w:r>
          </w:p>
        </w:tc>
        <w:tc>
          <w:tcPr>
            <w:tcW w:w="3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44,227</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25,697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85,319</w:t>
            </w:r>
          </w:p>
        </w:tc>
      </w:tr>
      <w:tr>
        <w:trPr>
          <w:trHeight w:val="276"/>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current liabilities (h)</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(238,354)</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(280,449)</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(241,728)</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(203,482)</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(135,095)</w:t>
            </w:r>
          </w:p>
        </w:tc>
      </w:tr>
      <w:tr>
        <w:trPr>
          <w:trHeight w:val="264"/>
        </w:trPr>
        <w:tc>
          <w:tcPr>
            <w:tcW w:w="5180" w:type="dxa"/>
            <w:vAlign w:val="bottom"/>
          </w:tcPr>
          <w:p>
            <w:pPr>
              <w:ind w:left="40"/>
              <w:spacing w:after="0"/>
              <w:rPr>
                <w:sz w:val="20"/>
                <w:szCs w:val="20"/>
                <w:color w:val="auto"/>
              </w:rPr>
            </w:pPr>
            <w:r>
              <w:rPr>
                <w:rFonts w:ascii="Arial" w:cs="Arial" w:eastAsia="Arial" w:hAnsi="Arial"/>
                <w:sz w:val="14"/>
                <w:szCs w:val="14"/>
                <w:color w:val="auto"/>
              </w:rPr>
              <w:t>Total assets (i)</w:t>
            </w:r>
          </w:p>
        </w:tc>
        <w:tc>
          <w:tcPr>
            <w:tcW w:w="200" w:type="dxa"/>
            <w:vAlign w:val="bottom"/>
          </w:tcPr>
          <w:p>
            <w:pPr>
              <w:spacing w:after="0"/>
              <w:rPr>
                <w:sz w:val="22"/>
                <w:szCs w:val="22"/>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1,815,006</w:t>
            </w:r>
          </w:p>
        </w:tc>
        <w:tc>
          <w:tcPr>
            <w:tcW w:w="3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1,868,376</w:t>
            </w:r>
          </w:p>
        </w:tc>
        <w:tc>
          <w:tcPr>
            <w:tcW w:w="340" w:type="dxa"/>
            <w:vAlign w:val="bottom"/>
          </w:tcPr>
          <w:p>
            <w:pPr>
              <w:spacing w:after="0"/>
              <w:rPr>
                <w:sz w:val="22"/>
                <w:szCs w:val="22"/>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1,652,217</w:t>
            </w:r>
          </w:p>
        </w:tc>
        <w:tc>
          <w:tcPr>
            <w:tcW w:w="2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1,679,869</w:t>
            </w:r>
          </w:p>
        </w:tc>
        <w:tc>
          <w:tcPr>
            <w:tcW w:w="26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1,463,869</w:t>
            </w:r>
          </w:p>
        </w:tc>
      </w:tr>
      <w:tr>
        <w:trPr>
          <w:trHeight w:val="276"/>
        </w:trPr>
        <w:tc>
          <w:tcPr>
            <w:tcW w:w="5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debt, excluding current portion (j)</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1,415,657</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942,290</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767,585</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847,730</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656,794</w:t>
            </w:r>
          </w:p>
        </w:tc>
      </w:tr>
      <w:tr>
        <w:trPr>
          <w:trHeight w:val="258"/>
        </w:trPr>
        <w:tc>
          <w:tcPr>
            <w:tcW w:w="5180" w:type="dxa"/>
            <w:vAlign w:val="bottom"/>
          </w:tcPr>
          <w:p>
            <w:pPr>
              <w:ind w:left="40"/>
              <w:spacing w:after="0"/>
              <w:rPr>
                <w:sz w:val="20"/>
                <w:szCs w:val="20"/>
                <w:color w:val="auto"/>
              </w:rPr>
            </w:pPr>
            <w:r>
              <w:rPr>
                <w:rFonts w:ascii="Arial" w:cs="Arial" w:eastAsia="Arial" w:hAnsi="Arial"/>
                <w:sz w:val="14"/>
                <w:szCs w:val="14"/>
                <w:color w:val="auto"/>
              </w:rPr>
              <w:t>Total shareholders’ (deficit) equity (k)</w:t>
            </w:r>
          </w:p>
        </w:tc>
        <w:tc>
          <w:tcPr>
            <w:tcW w:w="20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(407,476)</w:t>
            </w:r>
          </w:p>
        </w:tc>
        <w:tc>
          <w:tcPr>
            <w:tcW w:w="3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131,812</w:t>
            </w:r>
          </w:p>
        </w:tc>
        <w:tc>
          <w:tcPr>
            <w:tcW w:w="340" w:type="dxa"/>
            <w:vAlign w:val="bottom"/>
          </w:tcPr>
          <w:p>
            <w:pPr>
              <w:spacing w:after="0"/>
              <w:rPr>
                <w:sz w:val="22"/>
                <w:szCs w:val="22"/>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93,947</w:t>
            </w:r>
          </w:p>
        </w:tc>
        <w:tc>
          <w:tcPr>
            <w:tcW w:w="220" w:type="dxa"/>
            <w:vAlign w:val="bottom"/>
          </w:tcPr>
          <w:p>
            <w:pPr>
              <w:spacing w:after="0"/>
              <w:rPr>
                <w:sz w:val="22"/>
                <w:szCs w:val="22"/>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75,212</w:t>
            </w:r>
          </w:p>
        </w:tc>
        <w:tc>
          <w:tcPr>
            <w:tcW w:w="26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166,076</w:t>
            </w:r>
          </w:p>
        </w:tc>
      </w:tr>
      <w:tr>
        <w:trPr>
          <w:trHeight w:val="189"/>
        </w:trPr>
        <w:tc>
          <w:tcPr>
            <w:tcW w:w="5180" w:type="dxa"/>
            <w:vAlign w:val="bottom"/>
          </w:tcPr>
          <w:p>
            <w:pPr>
              <w:spacing w:after="0"/>
              <w:rPr>
                <w:sz w:val="20"/>
                <w:szCs w:val="20"/>
                <w:color w:val="auto"/>
              </w:rPr>
            </w:pPr>
            <w:r>
              <w:rPr>
                <w:rFonts w:ascii="Arial" w:cs="Arial" w:eastAsia="Arial" w:hAnsi="Arial"/>
                <w:sz w:val="14"/>
                <w:szCs w:val="14"/>
                <w:color w:val="auto"/>
              </w:rPr>
              <w:t>___________________</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71" w:lineRule="exact"/>
        <w:rPr>
          <w:sz w:val="20"/>
          <w:szCs w:val="20"/>
          <w:color w:val="auto"/>
        </w:rPr>
      </w:pPr>
    </w:p>
    <w:p>
      <w:pPr>
        <w:ind w:left="260" w:right="20" w:hanging="252"/>
        <w:spacing w:after="0" w:line="249"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fiscal year 2020, the decrease in reported revenue is primarily due to a significant decline in order volumes starting in March, driven by the economic disruption associated with the COVID-19 pandemic lock downs and related restrictions. Our year-to-date revenue results through February 2020 grew on a reported basis; however we experienced a significant decline in demand starting in March 2020, which worsened in April 2020 before starting to recover in the last two months of fiscal 2020.</w:t>
      </w:r>
    </w:p>
    <w:p>
      <w:pPr>
        <w:spacing w:after="0" w:line="65" w:lineRule="exact"/>
        <w:rPr>
          <w:rFonts w:ascii="Arial" w:cs="Arial" w:eastAsia="Arial" w:hAnsi="Arial"/>
          <w:sz w:val="14"/>
          <w:szCs w:val="14"/>
          <w:color w:val="auto"/>
        </w:rPr>
      </w:pPr>
    </w:p>
    <w:p>
      <w:pPr>
        <w:ind w:left="260" w:right="40" w:hanging="252"/>
        <w:spacing w:after="0" w:line="258"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impact of our acquisitions of VIDA on July 2, 2018 and BuildASign on October 1, 2018. See Note 7 in our accompanying financial statements in this Report for a discussion of these acquisitions.</w:t>
      </w:r>
    </w:p>
    <w:p>
      <w:pPr>
        <w:spacing w:after="0" w:line="58" w:lineRule="exact"/>
        <w:rPr>
          <w:rFonts w:ascii="Arial" w:cs="Arial" w:eastAsia="Arial" w:hAnsi="Arial"/>
          <w:sz w:val="14"/>
          <w:szCs w:val="14"/>
          <w:color w:val="auto"/>
        </w:rPr>
      </w:pPr>
    </w:p>
    <w:p>
      <w:pPr>
        <w:ind w:left="260" w:right="40" w:hanging="252"/>
        <w:spacing w:after="0" w:line="258"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Albumprinter results through the divestiture date of August 31, 2017. See Note 7 in our accompanying financial statements in this Report for a discussion of this divestiture.</w:t>
      </w:r>
    </w:p>
    <w:p>
      <w:pPr>
        <w:spacing w:after="0" w:line="58" w:lineRule="exact"/>
        <w:rPr>
          <w:rFonts w:ascii="Arial" w:cs="Arial" w:eastAsia="Arial" w:hAnsi="Arial"/>
          <w:sz w:val="14"/>
          <w:szCs w:val="14"/>
          <w:color w:val="auto"/>
        </w:rPr>
      </w:pPr>
    </w:p>
    <w:p>
      <w:pPr>
        <w:ind w:left="260" w:right="360" w:hanging="252"/>
        <w:spacing w:after="0" w:line="258" w:lineRule="auto"/>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impact of the acquisition of National Pen on December 30, 2016. During December 2016, we purchased the remaining noncontrolling interest of our Japan business from our joint business partner, Plaza Create Co. Ltd.</w:t>
      </w:r>
    </w:p>
    <w:p>
      <w:pPr>
        <w:spacing w:after="0" w:line="58" w:lineRule="exact"/>
        <w:rPr>
          <w:rFonts w:ascii="Arial" w:cs="Arial" w:eastAsia="Arial" w:hAnsi="Arial"/>
          <w:sz w:val="14"/>
          <w:szCs w:val="14"/>
          <w:color w:val="auto"/>
        </w:rPr>
      </w:pPr>
    </w:p>
    <w:p>
      <w:pPr>
        <w:ind w:left="260" w:right="220" w:hanging="252"/>
        <w:spacing w:after="0" w:line="258" w:lineRule="auto"/>
        <w:tabs>
          <w:tab w:leader="none" w:pos="233"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impact of the acquisitions of Litotipografia Alcione S.r.l. on July 29, 2015, Tradeprint Distribution Limited on July 31, 2015, and WIRmachenDRUCK GmbH on February 1, 2016.</w:t>
      </w:r>
    </w:p>
    <w:p>
      <w:pPr>
        <w:spacing w:after="0" w:line="58" w:lineRule="exact"/>
        <w:rPr>
          <w:rFonts w:ascii="Arial" w:cs="Arial" w:eastAsia="Arial" w:hAnsi="Arial"/>
          <w:sz w:val="14"/>
          <w:szCs w:val="14"/>
          <w:color w:val="auto"/>
        </w:rPr>
      </w:pPr>
    </w:p>
    <w:p>
      <w:pPr>
        <w:ind w:left="260" w:hanging="252"/>
        <w:spacing w:after="0" w:line="258" w:lineRule="auto"/>
        <w:tabs>
          <w:tab w:leader="none" w:pos="193" w:val="left"/>
        </w:tabs>
        <w:numPr>
          <w:ilvl w:val="0"/>
          <w:numId w:val="27"/>
        </w:numPr>
        <w:rPr>
          <w:rFonts w:ascii="Arial" w:cs="Arial" w:eastAsia="Arial" w:hAnsi="Arial"/>
          <w:sz w:val="14"/>
          <w:szCs w:val="14"/>
          <w:color w:val="auto"/>
        </w:rPr>
      </w:pPr>
      <w:r>
        <w:rPr>
          <w:rFonts w:ascii="Arial" w:cs="Arial" w:eastAsia="Arial" w:hAnsi="Arial"/>
          <w:sz w:val="14"/>
          <w:szCs w:val="14"/>
          <w:color w:val="auto"/>
        </w:rPr>
        <w:t>During the year ended June 30, 2020, we repurchased 5,002,018 of our own shares, resulting in a decline in our outstanding shares. We are restricted from repurchasing shares during the covenant suspension period under our April 2020 credit facility amendment. See to Note 10 in the accompanying financial statements for additional details.</w:t>
      </w:r>
    </w:p>
    <w:p>
      <w:pPr>
        <w:sectPr>
          <w:pgSz w:w="11900" w:h="16838" w:orient="portrait"/>
          <w:cols w:equalWidth="0" w:num="1">
            <w:col w:w="11240"/>
          </w:cols>
          <w:pgMar w:left="320" w:top="508" w:right="3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508" w:right="339" w:bottom="1440" w:gutter="0" w:footer="0" w:header="0"/>
          <w:type w:val="continuous"/>
        </w:sectPr>
      </w:pPr>
    </w:p>
    <w:bookmarkStart w:id="33" w:name="page34"/>
    <w:bookmarkEnd w:id="33"/>
    <w:p>
      <w:pPr>
        <w:jc w:val="both"/>
        <w:ind w:left="252" w:right="60" w:hanging="252"/>
        <w:spacing w:after="0" w:line="249" w:lineRule="auto"/>
        <w:tabs>
          <w:tab w:leader="none" w:pos="225"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the periods we report a net loss, the impact of share options, warrants, PSUs, RSUs, and RSAs is not included as they are anti-dilutive. During the fourth quarter of fiscal 2020, we entered into a financing arrangement with Apollo Global Management, Inc., which included 7-year warrants with a strike price of $60 per share that have a dilutive impact on our diluted earnings per share. Refer to Notes 2 and 10 in our accompanying financial statements for additional information.</w:t>
      </w:r>
    </w:p>
    <w:p>
      <w:pPr>
        <w:spacing w:after="0" w:line="65" w:lineRule="exact"/>
        <w:rPr>
          <w:rFonts w:ascii="Arial" w:cs="Arial" w:eastAsia="Arial" w:hAnsi="Arial"/>
          <w:sz w:val="14"/>
          <w:szCs w:val="14"/>
          <w:color w:val="auto"/>
        </w:rPr>
      </w:pPr>
    </w:p>
    <w:p>
      <w:pPr>
        <w:ind w:left="252" w:right="440" w:hanging="252"/>
        <w:spacing w:after="0" w:line="258" w:lineRule="auto"/>
        <w:tabs>
          <w:tab w:leader="none" w:pos="225"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Many of our businesses have a cash conversion cycle that results in current liabilities being higher than current assets. Our net current liabilities (current assets minus current liabilities) have expanded over recent years as we have increased focus on net working capital improvements.</w:t>
      </w:r>
    </w:p>
    <w:p>
      <w:pPr>
        <w:spacing w:after="0" w:line="58" w:lineRule="exact"/>
        <w:rPr>
          <w:rFonts w:ascii="Arial" w:cs="Arial" w:eastAsia="Arial" w:hAnsi="Arial"/>
          <w:sz w:val="14"/>
          <w:szCs w:val="14"/>
          <w:color w:val="auto"/>
        </w:rPr>
      </w:pPr>
    </w:p>
    <w:p>
      <w:pPr>
        <w:ind w:left="252" w:hanging="252"/>
        <w:spacing w:after="0" w:line="245" w:lineRule="auto"/>
        <w:tabs>
          <w:tab w:leader="none" w:pos="177"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July 1, 2019, we adopted ASC 842, Leases, using a modified retrospective transition approach. Under the modified retrospective approach, we recognized any cumulative impacts as of the adoption date within retained earnings on our consolidated balance sheet and we did not adjust the prior comparable period. Upon adoption, we recognized operating lease assets of $169,668. Additionally, $121,254 of previously capitalized costs for our build-to-suit leases, including our Waltham, Massachusetts lease, included in property, plant and equipment, net have been de-recognized and are now classified as operating leases. Refer to Note 2 in the accompanying financial statements for additional details related to the impact of our adoption of the standard.</w:t>
      </w:r>
    </w:p>
    <w:p>
      <w:pPr>
        <w:spacing w:after="0" w:line="69" w:lineRule="exact"/>
        <w:rPr>
          <w:rFonts w:ascii="Arial" w:cs="Arial" w:eastAsia="Arial" w:hAnsi="Arial"/>
          <w:sz w:val="14"/>
          <w:szCs w:val="14"/>
          <w:color w:val="auto"/>
        </w:rPr>
      </w:pPr>
    </w:p>
    <w:p>
      <w:pPr>
        <w:ind w:left="252" w:right="40" w:hanging="252"/>
        <w:spacing w:after="0" w:line="247" w:lineRule="auto"/>
        <w:tabs>
          <w:tab w:leader="none" w:pos="177" w:val="left"/>
        </w:tabs>
        <w:numPr>
          <w:ilvl w:val="0"/>
          <w:numId w:val="28"/>
        </w:numPr>
        <w:rPr>
          <w:rFonts w:ascii="Arial" w:cs="Arial" w:eastAsia="Arial" w:hAnsi="Arial"/>
          <w:sz w:val="14"/>
          <w:szCs w:val="14"/>
          <w:color w:val="auto"/>
        </w:rPr>
      </w:pPr>
      <w:r>
        <w:rPr>
          <w:rFonts w:ascii="Arial" w:cs="Arial" w:eastAsia="Arial" w:hAnsi="Arial"/>
          <w:sz w:val="14"/>
          <w:szCs w:val="14"/>
          <w:color w:val="auto"/>
        </w:rPr>
        <w:t>During the fourth quarter of fiscal 2020 and in response to the uncertainty associated with the COVID-19 pandemic, we amended our senior secured credit facility to suspend pre-existing maintenance covenants. Additionally, on May 1, 2020, we issued second lien notes and warrants to raise $300.0 million from funds managed by affiliates of Apollo Global Management, Inc. via a private placement. We used the proceeds to pay down a portion of the term loan under our senior secured credit facility and to pay fees and expenses incurred in connection with the financing and the above-described amendment.</w:t>
      </w:r>
    </w:p>
    <w:p>
      <w:pPr>
        <w:spacing w:after="0" w:line="228" w:lineRule="exact"/>
        <w:rPr>
          <w:sz w:val="20"/>
          <w:szCs w:val="20"/>
          <w:color w:val="auto"/>
        </w:rPr>
      </w:pPr>
    </w:p>
    <w:p>
      <w:pPr>
        <w:jc w:val="both"/>
        <w:ind w:left="252" w:right="140" w:hanging="242"/>
        <w:spacing w:after="0" w:line="258" w:lineRule="auto"/>
        <w:rPr>
          <w:sz w:val="20"/>
          <w:szCs w:val="20"/>
          <w:color w:val="auto"/>
        </w:rPr>
      </w:pPr>
      <w:r>
        <w:rPr>
          <w:rFonts w:ascii="Arial" w:cs="Arial" w:eastAsia="Arial" w:hAnsi="Arial"/>
          <w:sz w:val="14"/>
          <w:szCs w:val="14"/>
          <w:color w:val="auto"/>
        </w:rPr>
        <w:t>On February 13, 2020, we completed an additional offering of $200.0 million in aggregate principal of 7.0% senior unsecured notes due 2026. The net proceeds from this add-on offering were used to repay a portion of the indebtedness outstanding under our senior secured credit facility and related transaction fees and expenses.</w:t>
      </w:r>
    </w:p>
    <w:p>
      <w:pPr>
        <w:spacing w:after="0" w:line="221" w:lineRule="exact"/>
        <w:rPr>
          <w:sz w:val="20"/>
          <w:szCs w:val="20"/>
          <w:color w:val="auto"/>
        </w:rPr>
      </w:pPr>
    </w:p>
    <w:p>
      <w:pPr>
        <w:jc w:val="both"/>
        <w:ind w:left="252" w:right="120" w:hanging="242"/>
        <w:spacing w:after="0" w:line="249" w:lineRule="auto"/>
        <w:rPr>
          <w:sz w:val="20"/>
          <w:szCs w:val="20"/>
          <w:color w:val="auto"/>
        </w:rPr>
      </w:pPr>
      <w:r>
        <w:rPr>
          <w:rFonts w:ascii="Arial" w:cs="Arial" w:eastAsia="Arial" w:hAnsi="Arial"/>
          <w:sz w:val="14"/>
          <w:szCs w:val="14"/>
          <w:color w:val="auto"/>
        </w:rPr>
        <w:t>On June 15, 2018, we completed a private placement of $400.0 million of 7.0% senior unsecured notes due 2026. The proceeds from the sale of the notes were used to repay our existing $275.0 million senior unsecured notes that were due 2022, a portion of our indebtedness outstanding under our senior secured credit facility and other related transaction fees.</w:t>
      </w:r>
    </w:p>
    <w:p>
      <w:pPr>
        <w:spacing w:after="0" w:line="228" w:lineRule="exact"/>
        <w:rPr>
          <w:sz w:val="20"/>
          <w:szCs w:val="20"/>
          <w:color w:val="auto"/>
        </w:rPr>
      </w:pPr>
    </w:p>
    <w:p>
      <w:pPr>
        <w:ind w:left="252" w:right="380" w:hanging="242"/>
        <w:spacing w:after="0" w:line="249" w:lineRule="auto"/>
        <w:rPr>
          <w:sz w:val="20"/>
          <w:szCs w:val="20"/>
          <w:color w:val="auto"/>
        </w:rPr>
      </w:pPr>
      <w:r>
        <w:rPr>
          <w:rFonts w:ascii="Arial" w:cs="Arial" w:eastAsia="Arial" w:hAnsi="Arial"/>
          <w:sz w:val="14"/>
          <w:szCs w:val="14"/>
          <w:color w:val="auto"/>
        </w:rPr>
        <w:t>See Note 10 in our accompanying financial statements in this Report for additional discussion of each financing transaction. Increases in long-term debt during the periods before fiscal 2020 have largely been driven by the funding of acquisitions including those outlined in Note 7 in our accompanying financial statements and share repurchases.</w:t>
      </w:r>
    </w:p>
    <w:p>
      <w:pPr>
        <w:spacing w:after="0" w:line="228" w:lineRule="exact"/>
        <w:rPr>
          <w:sz w:val="20"/>
          <w:szCs w:val="20"/>
          <w:color w:val="auto"/>
        </w:rPr>
      </w:pPr>
    </w:p>
    <w:p>
      <w:pPr>
        <w:ind w:left="252" w:right="200" w:hanging="252"/>
        <w:spacing w:after="0" w:line="258" w:lineRule="auto"/>
        <w:tabs>
          <w:tab w:leader="none" w:pos="217"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the year ended June 30, 2020, total shareholders' equity declined, resulting in a shareholders' deficit, primarily driven by $627,056 of share repurchases during the current fiscal year.</w:t>
      </w:r>
    </w:p>
    <w:p>
      <w:pPr>
        <w:spacing w:after="0" w:line="3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12"/>
          </w:cols>
          <w:pgMar w:left="328" w:top="44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revenues during and after the COVID-19 pandemic, the potential effects of the pandemic, the expected effects of the actions we are taking and intend to take to address the pandemic including cost savings, the size of our market and our ability to take advantage of the market opportunity, expectations with respect to the development and efficacy of our mass customization platform, the competitive landscape and our competitive position, the expected effects of the reorganization of our technology team, sufficiency of our liquidity position, legal proceedings,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the COVID-19 pandemic; our failure to anticipate and react to the effects of the pandemic on our customers, supply chain, markets, team members, and business; our inability to take the actions that we plan to take or the failure of those actions to achieve the results we expect; loss or unavailability of key personnel or our inability to recruit talented personnel to drive performance of our businesses; unanticipated changes in our markets, customers, or businesses; changes in the laws and regulations, or in the interpretation of laws and regulations, that affect our businesses; our failure to manage the growth and complexity of our business and expand our operations; the willingness of purchasers of customized products and services to shop online; our failure to maintain compliance with the covenants in our debt documents or to pay our debts when due; competitive pressures; general economic conditions; and other factors described in this Report. You should carefully review those factors and also carefully review the risks outlined in other documents that we file from time to time with the United States Securities and Exchange Commission.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9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54"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During the first quarter of fiscal 2020, we revised our internal organizational and reporting structure leading to changes in our Vistaprint and All Other Businesses reportable segments. Our Vistaprint Corporate Solutions, Vistaprint India, and Vistaprint Japan businesses, which were previously aggregated based on materiality in our All Other Businesses, are now directly managed within the Vistaprint business. These businesses are close derivatives or adjacencies of the Vistaprint business and leverage the Vistaprint brand, customers, technology, and/or other assets. This change in reporting structure positions them closer to the Vistaprint operations, capabilities, and resources. Additionally, during the fourth quarter of fiscal 2020, we reorganized technology teams that previously existed within our Vistaprint business and our central teams. The reorganization resulted in some team member reductions in both organizations, and the net transfer of 177 team members from Vistaprint to our central Cimpress technology team. This change is intended to free up resources to make more Vistaprint technologies available to other Cimpress businesses in the future, to accelerate Vistaprint's re-platforming efforts, and to reduce costs where no longer necessary. We have revised our presentation of all prior periods presented to reflect our revised segment reporting.</w:t>
      </w:r>
    </w:p>
    <w:p>
      <w:pPr>
        <w:spacing w:after="0" w:line="18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June 30, 2020, we have numerous operating segments under our management reporting structure that are reported in the following five reportable segments: Vistaprint, PrintBrothers, The Print Group, National Pen, and All Other Businesses. Refer to Note 16 in our accompanying consolidated financial statements for additional information relating to our reportable segments and our segment financial measures.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4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COVID-19</w:t>
      </w:r>
    </w:p>
    <w:p>
      <w:pPr>
        <w:spacing w:after="0" w:line="301"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Through the end of February 2020, Cimpress’ year-to-date revenue and adjusted EBITDA grew over the prior year. However, the COVID-19 pandemic and related restrictions are impacting our small business customers around the world, which led to materially reduced demand for our products starting in March 2020, but month-over-month demand has been improving through June 2020, as consolidated bookings were down 19% in June, compared to a decline in consolidated bookings of 51% in April.</w:t>
      </w:r>
    </w:p>
    <w:p>
      <w:pPr>
        <w:spacing w:after="0" w:line="258"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Our decentralized organizational structure has helped our pandemic response by allowing our decentralized businesses to move quickly to respond to local situations, whether that be related to the health and safety of our team members, reacting to government restrictions and guidelines, or serving our customers' needs. At the same time, our leaders have shared best practices and approaches to pull on the strength of the collective whole. Central teams have provided support, guidance, and a structure for coordination, and our businesses have focused on execution and innovation.</w:t>
      </w:r>
    </w:p>
    <w:p>
      <w:pPr>
        <w:spacing w:after="0" w:line="25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Cimpress moved quickly to respond along several dimensions, including team member health and safety, resiliency in continuing to serve our customers, financial flexibility to weather the effects of the pandemic, and innovation to provide customers and our communities the products they need during this pandemic. All team members who have the ability to do so have been working from home and are doing so productively. In cases where it is not possible for team members to work from home, such as in manufacturing or some customer service roles, Cimpress businesses are ensuring compliance with relevant laws and health guidelines and best practices, such as social distancing, temperature checks, mandatory face masks or face shields, and frequent deep cleaning of facilities. While there have been improvements and some reductions to government restrictions in certain countries, the ultimate duration and scope of the pandemic remains unknown, so we have taken a series of decisive and proactive measures starting in March 2020 including the following:</w:t>
      </w:r>
    </w:p>
    <w:p>
      <w:pPr>
        <w:spacing w:after="0" w:line="178" w:lineRule="exact"/>
        <w:rPr>
          <w:sz w:val="20"/>
          <w:szCs w:val="20"/>
          <w:color w:val="auto"/>
        </w:rPr>
      </w:pPr>
    </w:p>
    <w:p>
      <w:pPr>
        <w:ind w:left="660" w:right="72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Entered into an amendment to our senior secured credit agreement to provide a temporary suspension of prior maintenance covenants and raised new capital to provide a partial pay down to senior secured credit facility lenders;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Enacted significant cost-reduction and cash-preservation measures;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Maintained operational continuity to the greatest extent feasible while prioritizing the health and safety of our team members;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Protected key investments in technology, data infrastructure and customer value improvements.</w:t>
      </w:r>
    </w:p>
    <w:p>
      <w:pPr>
        <w:spacing w:after="0" w:line="306" w:lineRule="exact"/>
        <w:rPr>
          <w:sz w:val="20"/>
          <w:szCs w:val="20"/>
          <w:color w:val="auto"/>
        </w:rPr>
      </w:pPr>
    </w:p>
    <w:p>
      <w:pPr>
        <w:ind w:right="480" w:firstLine="648"/>
        <w:spacing w:after="0" w:line="261" w:lineRule="auto"/>
        <w:rPr>
          <w:sz w:val="20"/>
          <w:szCs w:val="20"/>
          <w:color w:val="auto"/>
        </w:rPr>
      </w:pPr>
      <w:r>
        <w:rPr>
          <w:rFonts w:ascii="Arial" w:cs="Arial" w:eastAsia="Arial" w:hAnsi="Arial"/>
          <w:sz w:val="18"/>
          <w:szCs w:val="18"/>
          <w:color w:val="auto"/>
        </w:rPr>
        <w:t>We believe the actions we have taken or identified will create the time and financial flexibility to enable us to focus on execution through this pandemic, even if its negative effects were to be deeper and more prolonged than we currently anticipate.</w:t>
      </w:r>
    </w:p>
    <w:p>
      <w:pPr>
        <w:spacing w:after="0" w:line="2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near-term outlook has changed significantly in light of the COVID-19 pandemic and the impact it has had on our customers, and therefore, our results. The timing of the initial impact on demand in March differed by business, with those having significant European exposure impacted earliest, while all segments realized improvements sequentially for the months of May and June 2020. The improvements are the result of the start in many geographies of relaxed government restrictions that has driven more economic activity, in addition to our shift in focus to products and product templates that our customers need in the current environment.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Reductions</w:t>
      </w:r>
    </w:p>
    <w:p>
      <w:pPr>
        <w:spacing w:after="0" w:line="297"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We have reduced variable and semi-variable costs generally in line with the reduction in demand. As demand fluctuates, the reduction happens naturally for many of these costs such as shipping costs, payment processing fees, and part of our performance advertising where costs are based on keyword searches and clicks. For other of these costs, reduction requires us to take actions, such as temporarily reducing direct labor in production facilities or service locations or changing payback guidelines on advertising.</w:t>
      </w:r>
    </w:p>
    <w:p>
      <w:pPr>
        <w:spacing w:after="0" w:line="258"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In addition, we have taken actions to reduce fixed costs, including, but not limited to, strict hiring limitations across all Cimpress businesses, elimination of discretionary spend such as travel, training and events, reduced work schedules where possible, deferral of all non-essential consulting projects, elimination of non-essential contractors and replacement of cash compensation during the fourth quarter with restricted share units (RSUs) for some team members. Our goal with the fixed cost reductions made to date is to protect key growth investments and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22" w:right="339" w:bottom="1440" w:gutter="0" w:footer="0" w:header="0"/>
        </w:sectPr>
      </w:pPr>
    </w:p>
    <w:bookmarkStart w:id="36" w:name="page37"/>
    <w:bookmarkEnd w:id="36"/>
    <w:p>
      <w:pPr>
        <w:ind w:right="20"/>
        <w:spacing w:after="0" w:line="252" w:lineRule="auto"/>
        <w:rPr>
          <w:sz w:val="20"/>
          <w:szCs w:val="20"/>
          <w:color w:val="auto"/>
        </w:rPr>
      </w:pPr>
      <w:r>
        <w:rPr>
          <w:rFonts w:ascii="Arial" w:cs="Arial" w:eastAsia="Arial" w:hAnsi="Arial"/>
          <w:sz w:val="18"/>
          <w:szCs w:val="18"/>
          <w:color w:val="auto"/>
        </w:rPr>
        <w:t>as much full-time employment as possible so that when demand begins to recover, we are well positioned to regain momentum. We anticipate that many of these lowered fixed costs will come back into the business when and if activity necessitates such costs including travel or hiring or as the recovery path becomes more certain such that team member benefits can be restored. In fact, we have already resumed hiring in select areas like technology, data science and analytics. While we believe it was appropriate to constrain costs in certain areas, we will continue to be disciplined in adding cost back where it makes sense to do so since we can't be certain of the shape and timing of demand recovery.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0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 wide is our adjusted free cash flow before cash interest expense related to borrowing; however, in evaluating the financial condition and operating performance of our business, management considers a number of metrics including revenue growth, constant-currency revenue growth, operating income, adjusted EBITDA, cash flow from operations and adjusted free cash flow. A summary of these key financial metrics for the year ended June 30, 2020 as compared to the year ended June 30, 2019 follows: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2020</w:t>
      </w:r>
    </w:p>
    <w:p>
      <w:pPr>
        <w:spacing w:after="0" w:line="13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decreased by 10% to $2,481.4 million.</w:t>
      </w:r>
    </w:p>
    <w:p>
      <w:pPr>
        <w:spacing w:after="0" w:line="117"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constant-currency revenue decreased by 9% and decreased by 11% when excluding acquisitions and divestitures completed in the last four quarters.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income decreased by $107.6 million to $56.0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(a non-GAAP financial measure) increased by $13.2 million to $399.8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provided by operating activities increased by $7.3 million to $338.4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free cash flow (a non-GAAP financial measure) increased by $32.2 million to $244.0 million.</w:t>
      </w:r>
    </w:p>
    <w:p>
      <w:pPr>
        <w:spacing w:after="0" w:line="19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For fiscal year 2020, the decrease in reported revenue is primarily due to a significant decline in order volumes starting in March, driven by the economic disruption associated with the COVID-19 pandemic lock downs and related restrictions. Our year-to-date revenue results through February 2020, grew on a reported basis; however we experienced a significant decline in demand starting in March 2020, which worsened in April 2020 before starting to recover in the last two months of fiscal 2020. Currency exchange rate fluctuations negatively impacted revenue during the current fiscal year.</w:t>
      </w:r>
    </w:p>
    <w:p>
      <w:pPr>
        <w:spacing w:after="0" w:line="178" w:lineRule="exact"/>
        <w:rPr>
          <w:sz w:val="20"/>
          <w:szCs w:val="20"/>
          <w:color w:val="auto"/>
        </w:rPr>
      </w:pPr>
    </w:p>
    <w:p>
      <w:pPr>
        <w:ind w:right="140" w:firstLine="648"/>
        <w:spacing w:after="0" w:line="251" w:lineRule="auto"/>
        <w:rPr>
          <w:sz w:val="20"/>
          <w:szCs w:val="20"/>
          <w:color w:val="auto"/>
        </w:rPr>
      </w:pPr>
      <w:r>
        <w:rPr>
          <w:rFonts w:ascii="Arial" w:cs="Arial" w:eastAsia="Arial" w:hAnsi="Arial"/>
          <w:sz w:val="18"/>
          <w:szCs w:val="18"/>
          <w:color w:val="auto"/>
        </w:rPr>
        <w:t>For the year ended June 30, 2020, operating income decreased by $107.6 million, due to the year over year increase in goodwill impairment charges of $93.3 million, as well as a decline in performance starting in March 2020 driven by the aforementioned impacts of COVID-19, which resulted in a decline in profitability for most of our businesses. While we are not back to pre-pandemic levels of demand, we are steadily recovering, as consolidated bookings were down 19% in June, compared to a decline in consolidated bookings of 51% in April. Prior to March 2020, profitability increased as a result of planned reductions in advertising spend for our Vistaprint and National Pen businesses combined with operational improvements in several of our businesses. Our BuildASign business continued to grow and drive profit improvements even when the pandemic hit the U.S. market as their home decor and pandemic-related signage products showed growth and resiliency, while net investments in our early-stage businesses decreased primarily due to pre-pandemic actions we have taken to improve the efficiency and focus of our Printi business compared to the prior year.</w:t>
      </w:r>
    </w:p>
    <w:p>
      <w:pPr>
        <w:spacing w:after="0" w:line="185"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Adjusted EBITDA increased as compared to the year ended June 30, 2019, due to the pre-pandemic performance discussed above, but partially offset by the decline in profitability starting in March 2020 due to the impacts from the pandemic. Adjusted EBITDA excludes the impact of the goodwill impairment discussed above, and includes the realized gains or losses on our currency derivatives intended to hedge adjusted EBITDA, and the net year-over-year impact of currency on consolidated adjusted EBITDA was not significant.</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320" w:top="544"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234" w:lineRule="exact"/>
        <w:rPr>
          <w:sz w:val="20"/>
          <w:szCs w:val="20"/>
          <w:color w:val="auto"/>
        </w:rPr>
      </w:pPr>
    </w:p>
    <w:p>
      <w:pPr>
        <w:ind w:right="100" w:firstLine="661"/>
        <w:spacing w:after="0" w:line="254" w:lineRule="auto"/>
        <w:rPr>
          <w:sz w:val="20"/>
          <w:szCs w:val="20"/>
          <w:color w:val="auto"/>
        </w:rPr>
      </w:pPr>
      <w:r>
        <w:rPr>
          <w:rFonts w:ascii="Arial" w:cs="Arial" w:eastAsia="Arial" w:hAnsi="Arial"/>
          <w:sz w:val="18"/>
          <w:szCs w:val="18"/>
          <w:color w:val="auto"/>
        </w:rPr>
        <w:t>Our businesses generate revenue primarily from the sale and shipment of customized manufactured products. To a much lesser extent (and only in our Vistaprint business) we provide digital services, website design and hosting, and email marketing services, as well as generate a small percentage of revenue from order referral fees and other third-party offerings. For additional discussion relating to segment revenue results, refer to the "Reportable Segment Results" section included below.</w:t>
      </w:r>
    </w:p>
    <w:p>
      <w:pPr>
        <w:spacing w:after="0" w:line="109" w:lineRule="exact"/>
        <w:rPr>
          <w:sz w:val="20"/>
          <w:szCs w:val="20"/>
          <w:color w:val="auto"/>
        </w:rPr>
      </w:pPr>
    </w:p>
    <w:p>
      <w:pPr>
        <w:ind w:right="540" w:firstLine="661"/>
        <w:spacing w:after="0" w:line="261" w:lineRule="auto"/>
        <w:rPr>
          <w:sz w:val="20"/>
          <w:szCs w:val="20"/>
          <w:color w:val="auto"/>
        </w:rPr>
      </w:pPr>
      <w:r>
        <w:rPr>
          <w:rFonts w:ascii="Arial" w:cs="Arial" w:eastAsia="Arial" w:hAnsi="Arial"/>
          <w:sz w:val="18"/>
          <w:szCs w:val="18"/>
          <w:color w:val="auto"/>
        </w:rPr>
        <w:t>Total revenue and revenue growth by reportable segment for the years ended June 30, 2020, 2019 and 2018 are shown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8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6"/>
                <w:szCs w:val="16"/>
                <w:color w:val="auto"/>
              </w:rPr>
            </w:pPr>
          </w:p>
        </w:tc>
        <w:tc>
          <w:tcPr>
            <w:tcW w:w="2260" w:type="dxa"/>
            <w:vAlign w:val="bottom"/>
            <w:gridSpan w:val="4"/>
            <w:vMerge w:val="restart"/>
          </w:tcPr>
          <w:p>
            <w:pPr>
              <w:jc w:val="right"/>
              <w:ind w:right="541"/>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Currency</w:t>
            </w: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Constant-</w:t>
            </w: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Impact of</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Impact:</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Currency</w:t>
            </w: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Acquisitions/Divestitures:</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jc w:val="center"/>
              <w:ind w:left="22"/>
              <w:spacing w:after="0" w:line="135" w:lineRule="exact"/>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Revenue</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Vistaprint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1,337,291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1,508,322</w:t>
            </w:r>
          </w:p>
        </w:tc>
        <w:tc>
          <w:tcPr>
            <w:tcW w:w="80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8"/>
              </w:rPr>
              <w:t>(11)%</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22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417,921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443,987</w:t>
            </w:r>
          </w:p>
        </w:tc>
        <w:tc>
          <w:tcPr>
            <w:tcW w:w="800" w:type="dxa"/>
            <w:vAlign w:val="bottom"/>
            <w:gridSpan w:val="2"/>
          </w:tcPr>
          <w:p>
            <w:pPr>
              <w:jc w:val="center"/>
              <w:ind w:left="2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275,214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325,872</w:t>
            </w:r>
          </w:p>
        </w:tc>
        <w:tc>
          <w:tcPr>
            <w:tcW w:w="80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8"/>
              </w:rPr>
              <w:t>(16)%</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22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299,474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348,409</w:t>
            </w:r>
          </w:p>
        </w:tc>
        <w:tc>
          <w:tcPr>
            <w:tcW w:w="80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(14)%</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580" w:type="dxa"/>
            <w:vAlign w:val="bottom"/>
          </w:tcPr>
          <w:p>
            <w:pPr>
              <w:jc w:val="center"/>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 (3)</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173,789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136,202</w:t>
            </w:r>
          </w:p>
        </w:tc>
        <w:tc>
          <w:tcPr>
            <w:tcW w:w="800" w:type="dxa"/>
            <w:vAlign w:val="bottom"/>
            <w:gridSpan w:val="2"/>
            <w:shd w:val="clear" w:color="auto" w:fill="CCEEFF"/>
          </w:tcPr>
          <w:p>
            <w:pPr>
              <w:jc w:val="center"/>
              <w:ind w:left="2"/>
              <w:spacing w:after="0"/>
              <w:rPr>
                <w:sz w:val="20"/>
                <w:szCs w:val="20"/>
                <w:color w:val="auto"/>
              </w:rPr>
            </w:pPr>
            <w:r>
              <w:rPr>
                <w:rFonts w:ascii="Arial" w:cs="Arial" w:eastAsia="Arial" w:hAnsi="Arial"/>
                <w:sz w:val="16"/>
                <w:szCs w:val="16"/>
                <w:color w:val="auto"/>
                <w:w w:val="99"/>
              </w:rPr>
              <w:t>28%</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29%</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6"/>
                <w:szCs w:val="16"/>
                <w:color w:val="auto"/>
              </w:rPr>
              <w:t>Inter-segment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8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eliminations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(11,716)</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2,481,358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2,751,076</w:t>
            </w:r>
          </w:p>
        </w:tc>
        <w:tc>
          <w:tcPr>
            <w:tcW w:w="80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8"/>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4"/>
              </w:rPr>
              <w:t>Currency</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Constant-</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Impact of</w:t>
            </w:r>
          </w:p>
        </w:tc>
        <w:tc>
          <w:tcPr>
            <w:tcW w:w="1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line="20" w:lineRule="exact"/>
              <w:rPr>
                <w:sz w:val="1"/>
                <w:szCs w:val="1"/>
                <w:color w:val="auto"/>
              </w:rPr>
            </w:pPr>
          </w:p>
        </w:tc>
      </w:tr>
      <w:tr>
        <w:trPr>
          <w:trHeight w:val="294"/>
        </w:trPr>
        <w:tc>
          <w:tcPr>
            <w:tcW w:w="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4"/>
            <w:vMerge w:val="restart"/>
          </w:tcPr>
          <w:p>
            <w:pPr>
              <w:jc w:val="right"/>
              <w:ind w:right="541"/>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720" w:type="dxa"/>
            <w:vAlign w:val="bottom"/>
            <w:gridSpan w:val="2"/>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Impact:</w:t>
            </w: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Currency</w:t>
            </w: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Acquisitions/Divestitures:</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jc w:val="center"/>
              <w:ind w:left="22"/>
              <w:spacing w:after="0" w:line="135" w:lineRule="exact"/>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Revenue</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Vistaprint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1,508,322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1,499,141</w:t>
            </w:r>
          </w:p>
        </w:tc>
        <w:tc>
          <w:tcPr>
            <w:tcW w:w="80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22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443,987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410,776</w:t>
            </w:r>
          </w:p>
        </w:tc>
        <w:tc>
          <w:tcPr>
            <w:tcW w:w="800" w:type="dxa"/>
            <w:vAlign w:val="bottom"/>
            <w:gridSpan w:val="2"/>
          </w:tcPr>
          <w:p>
            <w:pPr>
              <w:jc w:val="center"/>
              <w:ind w:left="22"/>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100" w:type="dxa"/>
            <w:vAlign w:val="bottom"/>
          </w:tcPr>
          <w:p>
            <w:pPr>
              <w:spacing w:after="0"/>
              <w:rPr>
                <w:sz w:val="22"/>
                <w:szCs w:val="2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325,872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320,473</w:t>
            </w:r>
          </w:p>
        </w:tc>
        <w:tc>
          <w:tcPr>
            <w:tcW w:w="80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22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348,409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333,266</w:t>
            </w:r>
          </w:p>
        </w:tc>
        <w:tc>
          <w:tcPr>
            <w:tcW w:w="800" w:type="dxa"/>
            <w:vAlign w:val="bottom"/>
            <w:gridSpan w:val="2"/>
          </w:tcPr>
          <w:p>
            <w:pPr>
              <w:jc w:val="center"/>
              <w:ind w:left="22"/>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58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 (3)</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136,202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40,230</w:t>
            </w:r>
          </w:p>
        </w:tc>
        <w:tc>
          <w:tcPr>
            <w:tcW w:w="80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6"/>
                <w:szCs w:val="16"/>
                <w:color w:val="auto"/>
              </w:rPr>
              <w:t>Inter-segment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8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eliminations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2,751,076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2,592,541</w:t>
            </w:r>
          </w:p>
        </w:tc>
        <w:tc>
          <w:tcPr>
            <w:tcW w:w="800" w:type="dxa"/>
            <w:vAlign w:val="bottom"/>
            <w:tcBorders>
              <w:bottom w:val="single" w:sz="8" w:color="CCEEFF"/>
            </w:tcBorders>
            <w:gridSpan w:val="2"/>
            <w:shd w:val="clear" w:color="auto" w:fill="CCEEFF"/>
          </w:tcPr>
          <w:p>
            <w:pPr>
              <w:jc w:val="center"/>
              <w:ind w:left="22"/>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jc w:val="right"/>
              <w:ind w:right="419"/>
              <w:spacing w:after="0"/>
              <w:rPr>
                <w:sz w:val="20"/>
                <w:szCs w:val="20"/>
                <w:color w:val="auto"/>
              </w:rPr>
            </w:pPr>
            <w:r>
              <w:rPr>
                <w:rFonts w:ascii="Arial" w:cs="Arial" w:eastAsia="Arial" w:hAnsi="Arial"/>
                <w:sz w:val="14"/>
                <w:szCs w:val="14"/>
                <w:color w:val="auto"/>
              </w:rPr>
              <w:t>_________________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60" w:right="20" w:hanging="252"/>
        <w:spacing w:after="0" w:line="249" w:lineRule="auto"/>
        <w:tabs>
          <w:tab w:leader="none" w:pos="233"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11" w:lineRule="exact"/>
        <w:rPr>
          <w:rFonts w:ascii="Arial" w:cs="Arial" w:eastAsia="Arial" w:hAnsi="Arial"/>
          <w:sz w:val="14"/>
          <w:szCs w:val="14"/>
          <w:color w:val="auto"/>
        </w:rPr>
      </w:pPr>
    </w:p>
    <w:p>
      <w:pPr>
        <w:ind w:left="260" w:hanging="252"/>
        <w:spacing w:after="0" w:line="245" w:lineRule="auto"/>
        <w:tabs>
          <w:tab w:leader="none" w:pos="233"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Revenue from our fiscal year 2019 acquisitions is excluded from fiscal year 2020 revenue growth for quarters with no comparable year-over-year revenue. For example, revenue from BuildASign, which we acquired on October 1, 2018 in Q2 2019, is excluded from revenue growth in Q1 of fiscal year 2019, with no Q1 results in the comparable period, but is included in organic revenue growth starting in Q2 of fiscal year 2020 and will be included in future quarters. Our reportable segments-related growth is inclusive of inter-segment revenues, which are eliminated in our consolidated results.</w:t>
      </w:r>
    </w:p>
    <w:p>
      <w:pPr>
        <w:spacing w:after="0" w:line="15" w:lineRule="exact"/>
        <w:rPr>
          <w:rFonts w:ascii="Arial" w:cs="Arial" w:eastAsia="Arial" w:hAnsi="Arial"/>
          <w:sz w:val="14"/>
          <w:szCs w:val="14"/>
          <w:color w:val="auto"/>
        </w:rPr>
      </w:pPr>
    </w:p>
    <w:p>
      <w:pPr>
        <w:ind w:left="260" w:right="160" w:hanging="252"/>
        <w:spacing w:after="0" w:line="247" w:lineRule="auto"/>
        <w:tabs>
          <w:tab w:leader="none" w:pos="233"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All Other Businesses segment includes the revenue of the Albumprinter business until the sale completion date of August 31, 2017, VIDA revenue from its acquisition date of July 2, 2018 through its divestiture date of April 10, 2020, and BuildASign revenue from its acquisition date of October 1, 2018. Constant-currency revenue growth excluding acquisitions/divestitures, excludes the revenue results for VIDA and BuildASign since their acquisition dates and Albumprinter and VIDA through their divestiture dates.</w:t>
      </w:r>
    </w:p>
    <w:p>
      <w:pPr>
        <w:spacing w:after="0" w:line="259" w:lineRule="exact"/>
        <w:rPr>
          <w:sz w:val="20"/>
          <w:szCs w:val="20"/>
          <w:color w:val="auto"/>
        </w:rPr>
      </w:pPr>
    </w:p>
    <w:p>
      <w:pPr>
        <w:ind w:left="260" w:right="40"/>
        <w:spacing w:after="0" w:line="249"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2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30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costs, costs of free products and other related costs of products our businesses sell.</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6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63"/>
        </w:trPr>
        <w:tc>
          <w:tcPr>
            <w:tcW w:w="6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2018</w:t>
            </w:r>
          </w:p>
        </w:tc>
      </w:tr>
      <w:tr>
        <w:trPr>
          <w:trHeight w:val="257"/>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1,248,871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1,401,344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1,279,799</w:t>
            </w:r>
          </w:p>
        </w:tc>
      </w:tr>
      <w:tr>
        <w:trPr>
          <w:trHeight w:val="251"/>
        </w:trPr>
        <w:tc>
          <w:tcPr>
            <w:tcW w:w="636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49.4%</w:t>
            </w:r>
          </w:p>
        </w:tc>
      </w:tr>
    </w:tbl>
    <w:p>
      <w:pPr>
        <w:spacing w:after="0" w:line="289" w:lineRule="exact"/>
        <w:rPr>
          <w:sz w:val="20"/>
          <w:szCs w:val="20"/>
          <w:color w:val="auto"/>
        </w:rPr>
      </w:pPr>
    </w:p>
    <w:p>
      <w:pPr>
        <w:ind w:firstLine="661"/>
        <w:spacing w:after="0" w:line="252" w:lineRule="auto"/>
        <w:rPr>
          <w:sz w:val="20"/>
          <w:szCs w:val="20"/>
          <w:color w:val="auto"/>
        </w:rPr>
      </w:pPr>
      <w:r>
        <w:rPr>
          <w:rFonts w:ascii="Arial" w:cs="Arial" w:eastAsia="Arial" w:hAnsi="Arial"/>
          <w:sz w:val="18"/>
          <w:szCs w:val="18"/>
          <w:color w:val="auto"/>
        </w:rPr>
        <w:t>For the year ended June 30, 2020, consolidated cost of revenue decreased by $ 152.5 million, primarily due to demand-dependent cost of goods sold including third-party fulfillment, material, and shipping costs that have decreased across several of our segments that have been more significantly impacted by the COVID-19 pandemic lock downs and related restrictions. Additionally, we realized approximately $11.6 million of wage offset benefit from government incentives in the fourth quarter. This was partially offset by an increase in the cost of revenue from our BuildASign business, which was acquired on October 1, 2018 and is therefore not included for part of the comparable period, as well as an increase of costs for the remainder of the year, driven by BuildASign's continued revenue growth and resiliency through the pandemic. A majority of our cost of revenue is variable with revenue demand, which contributed to flat year-over-year gross margins for the fourth quarter of fiscal 2020 despite pandemic-driven reductions in order volumes.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following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Year Ended June 30,</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63"/>
        </w:trPr>
        <w:tc>
          <w:tcPr>
            <w:tcW w:w="6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20"/>
              <w:spacing w:after="0"/>
              <w:rPr>
                <w:sz w:val="20"/>
                <w:szCs w:val="20"/>
                <w:color w:val="auto"/>
              </w:rPr>
            </w:pPr>
            <w:r>
              <w:rPr>
                <w:rFonts w:ascii="Arial" w:cs="Arial" w:eastAsia="Arial" w:hAnsi="Arial"/>
                <w:sz w:val="13"/>
                <w:szCs w:val="13"/>
                <w:b w:val="1"/>
                <w:bCs w:val="1"/>
                <w:color w:val="auto"/>
              </w:rPr>
              <w:t>2018</w:t>
            </w:r>
          </w:p>
        </w:tc>
      </w:tr>
      <w:tr>
        <w:trPr>
          <w:trHeight w:val="27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 expense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253,252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236,797</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245,758</w:t>
            </w: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i w:val="1"/>
                <w:iCs w:val="1"/>
                <w:color w:val="auto"/>
              </w:rPr>
              <w:t>8.6%</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9.5 %</w:t>
            </w:r>
          </w:p>
        </w:tc>
      </w:tr>
      <w:tr>
        <w:trPr>
          <w:trHeight w:val="28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574,041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713,863</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714,654</w:t>
            </w: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i w:val="1"/>
                <w:iCs w:val="1"/>
                <w:color w:val="auto"/>
              </w:rPr>
              <w:t>25.9%</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27.6 %</w:t>
            </w:r>
          </w:p>
        </w:tc>
      </w:tr>
      <w:tr>
        <w:trPr>
          <w:trHeight w:val="28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 expense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183,054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162,652</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176,958</w:t>
            </w: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i w:val="1"/>
                <w:iCs w:val="1"/>
                <w:color w:val="auto"/>
              </w:rPr>
              <w:t>5.9%</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6.8 %</w:t>
            </w:r>
          </w:p>
        </w:tc>
      </w:tr>
      <w:tr>
        <w:trPr>
          <w:trHeight w:val="28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Amortization of acquired intangible assets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51,786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53,256</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49,881</w:t>
            </w: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i w:val="1"/>
                <w:iCs w:val="1"/>
                <w:color w:val="auto"/>
              </w:rPr>
              <w:t>1.9%</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1.9 %</w:t>
            </w:r>
          </w:p>
        </w:tc>
      </w:tr>
      <w:tr>
        <w:trPr>
          <w:trHeight w:val="28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Restructuring expense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13,543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12,054</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15,236</w:t>
            </w: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i w:val="1"/>
                <w:iCs w:val="1"/>
                <w:color w:val="auto"/>
              </w:rPr>
              <w:t>0.4%</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0.6 %</w:t>
            </w:r>
          </w:p>
        </w:tc>
      </w:tr>
      <w:tr>
        <w:trPr>
          <w:trHeight w:val="28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Impairment of goodwill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100,842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7,503</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4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80"/>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(Gain) on sale of subsidiaries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(47,545)</w:t>
            </w:r>
          </w:p>
        </w:tc>
      </w:tr>
      <w:tr>
        <w:trPr>
          <w:trHeight w:val="250"/>
        </w:trPr>
        <w:tc>
          <w:tcPr>
            <w:tcW w:w="622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tcPr>
          <w:p>
            <w:pPr>
              <w:spacing w:after="0"/>
              <w:rPr>
                <w:sz w:val="21"/>
                <w:szCs w:val="21"/>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spacing w:after="0"/>
              <w:rPr>
                <w:sz w:val="21"/>
                <w:szCs w:val="21"/>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i w:val="1"/>
                <w:iCs w:val="1"/>
                <w:color w:val="auto"/>
              </w:rPr>
              <w:t>—%</w:t>
            </w:r>
          </w:p>
        </w:tc>
        <w:tc>
          <w:tcPr>
            <w:tcW w:w="4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(1.8)%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97" w:lineRule="exact"/>
        <w:rPr>
          <w:sz w:val="20"/>
          <w:szCs w:val="20"/>
          <w:color w:val="auto"/>
        </w:rPr>
      </w:pPr>
    </w:p>
    <w:p>
      <w:pPr>
        <w:ind w:right="100" w:firstLine="661"/>
        <w:spacing w:after="0" w:line="253"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78"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During the year ended June 30, 2020, technology and development expenses increased by $16.5 million, as compared to the prior year. This was mainly driven by increased costs of $11.3 million in our central technology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22" w:right="339" w:bottom="1440" w:gutter="0" w:footer="0" w:header="0"/>
        </w:sectPr>
      </w:pPr>
    </w:p>
    <w:bookmarkStart w:id="39" w:name="page40"/>
    <w:bookmarkEnd w:id="39"/>
    <w:p>
      <w:pPr>
        <w:ind w:right="60"/>
        <w:spacing w:after="0" w:line="252" w:lineRule="auto"/>
        <w:rPr>
          <w:sz w:val="20"/>
          <w:szCs w:val="20"/>
          <w:color w:val="auto"/>
        </w:rPr>
      </w:pPr>
      <w:r>
        <w:rPr>
          <w:rFonts w:ascii="Arial" w:cs="Arial" w:eastAsia="Arial" w:hAnsi="Arial"/>
          <w:sz w:val="18"/>
          <w:szCs w:val="18"/>
          <w:color w:val="auto"/>
        </w:rPr>
        <w:t>teams, primarily due to an increase in headcount, as these teams continue to develop new technologies that are intended to support our businesses, combined with higher operating costs driven by our businesses' increased adoption and usage of our central technology capabilities, which was partially offset by a reduction in travel and training expenses during the fourth quarter of fiscal 2020. Additionally, we had a $2.8 million increase of expense in our Vistaprint business, primarily related to the ongoing rebuild of its technology infrastructure. The increase during the year ended June 30, 2020, was also partially due to $5.2 million in the non-recurring reversal of share-based compensation expense for our supplemental PSUs in the comparative period.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9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Vistaprint, National Pen and BuildASign businesses have higher marketing and selling costs as a percentage of revenue as compared to our PrintBrothers and The Print Group businesses.</w:t>
      </w:r>
    </w:p>
    <w:p>
      <w:pPr>
        <w:spacing w:after="0" w:line="258"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marketing and selling expenses decreased by $139.8 million during the year ended June 30, 2020, as compared to the prior year. The decrease from the prior comparative period is primarily due to the reduction of advertising spend in our Vistaprint business of $104.3 million, which was driven by two factors. The first was our reduction in advertising spend throughout the year as we continued our initiative to work to eliminate spend that does not meet our return thresholds. This was combined with our response to the decline in order volumes that started in March 2020, whereby we further reduced our advertising spend by eliminating spend in certain marketing channels, while also tightening our required return thresholds. We also recognized a decrease in marketing costs in our National Pen business of $28.8 million, primarily due to a planned reduction in direct mail prospecting activity as compared to last year's elevated levels, as well as pandemic-related initiatives to lower costs, which included the delay of direct mail marketing campaigns, lower online advertising spend and cost savings initiatives to reduce costs in service centers.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97" w:lineRule="exact"/>
        <w:rPr>
          <w:sz w:val="20"/>
          <w:szCs w:val="20"/>
          <w:color w:val="auto"/>
        </w:rPr>
      </w:pPr>
    </w:p>
    <w:p>
      <w:pPr>
        <w:ind w:right="140" w:firstLine="661"/>
        <w:spacing w:after="0" w:line="291"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the year ended June 30, 2020, general and administrative expenses increased by $20.4 million, as compared to the prior period, primarily due to an increase in consulting costs associated with strategic projects in our Vistaprint business, costs incurred centrally related to the cross-border Irish Merger, and professional fees and costs associated with our May 2020 financing activities. Also included in the $20.4 million increase is additional share-based compensation expense of $8.1 million, primarily due to the reversal of supplemental PSU expense in the comparative period as well as a loss of $1.5 million associated with the sale of our VIDA business on April 10, 2020. During the year ended June 30, 2020, we incurred additional costs from our BuildASign business as that business was only included for nine months of the comparable period.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97"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color w:val="auto"/>
        </w:rPr>
        <w:t>Amortization of acquired intangible assets consists of amortization expense associated with separately identifiable intangible assets capitalized as part of our acquisitions, including customer relationships, trade names, developed technologies, print networks, and customer and referral networks.</w:t>
      </w:r>
    </w:p>
    <w:p>
      <w:pPr>
        <w:spacing w:after="0" w:line="256" w:lineRule="exact"/>
        <w:rPr>
          <w:sz w:val="20"/>
          <w:szCs w:val="20"/>
          <w:color w:val="auto"/>
        </w:rPr>
      </w:pPr>
    </w:p>
    <w:p>
      <w:pPr>
        <w:ind w:right="400" w:firstLine="648"/>
        <w:spacing w:after="0" w:line="254" w:lineRule="auto"/>
        <w:rPr>
          <w:sz w:val="20"/>
          <w:szCs w:val="20"/>
          <w:color w:val="auto"/>
        </w:rPr>
      </w:pPr>
      <w:r>
        <w:rPr>
          <w:rFonts w:ascii="Arial" w:cs="Arial" w:eastAsia="Arial" w:hAnsi="Arial"/>
          <w:sz w:val="18"/>
          <w:szCs w:val="18"/>
          <w:color w:val="auto"/>
        </w:rPr>
        <w:t>Amortization of acquired intangible assets decreased by $1.5 million for the year ended June 30, 2020, as compared to the year ended June 30, 2019. The reduction during the year ended June 30, 2020 is due to amortization within our PrintBrothers and The Print Group reportable segments as certain intangible assets became fully amortized during the prior fiscal year, partially offset by additional amortization for our BuildASign business caused by the prior year timing of the acquisition.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54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Restructuring expense</w:t>
      </w:r>
    </w:p>
    <w:p>
      <w:pPr>
        <w:spacing w:after="0" w:line="216"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Restructuring expense consists of costs directly incurred as a result of restructuring initiatives, and includes employee-related termination costs, third party professional fees and facility exit costs. During the year ended June 30, 2020, we recognized restructuring expense of $13.5 million, primarily related to the reorganization of our Vistaprint and central technology teams that were intended to better align technology tribes and accelerate the Vistaprint re-platforming efforts, as well as cost savings actions taken by our National Pen business in response to the pandemic. Comparatively, we recognized restructuring expense of $12.1 million during the year ended June 30, 2019, primarily related to actions within our Vistaprint business.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243"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For the year ended June 30, 2020, we recognized goodwill impairment charges of $ 100.8 million. We recognized a full goodwill impairment charge for our National Pen and VIDA reporting units, which amounted to $34.4 million and $26.0 million, respectively, as well as a partial goodwill impairment charge for our Exaprint reporting unit of $40.4 million. These impairment charges were primarily due to lower cash flow expectations for each for these business as a result of the decline in demand caused by the COVID-19 pandemic lock down and related restrictions when compared to previous estimates. Refer to Note 8 in our accompanying consolidated financial statements for additional details.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6" w:lineRule="exact"/>
        <w:rPr>
          <w:sz w:val="20"/>
          <w:szCs w:val="20"/>
          <w:color w:val="auto"/>
        </w:rPr>
      </w:pPr>
    </w:p>
    <w:p>
      <w:pPr>
        <w:ind w:right="60" w:firstLine="661"/>
        <w:spacing w:after="0" w:line="253" w:lineRule="auto"/>
        <w:rPr>
          <w:sz w:val="20"/>
          <w:szCs w:val="20"/>
          <w:color w:val="auto"/>
        </w:rPr>
      </w:pPr>
      <w:r>
        <w:rPr>
          <w:rFonts w:ascii="Arial" w:cs="Arial" w:eastAsia="Arial" w:hAnsi="Arial"/>
          <w:sz w:val="18"/>
          <w:szCs w:val="18"/>
          <w:color w:val="auto"/>
        </w:rPr>
        <w:t>Other income (expense),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2018</w:t>
            </w:r>
          </w:p>
        </w:tc>
      </w:tr>
      <w:tr>
        <w:trPr>
          <w:trHeight w:val="256"/>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 instruments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20,564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23,494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Currency-related gains (losses), net</w:t>
            </w:r>
          </w:p>
        </w:tc>
        <w:tc>
          <w:tcPr>
            <w:tcW w:w="36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2,309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5"/>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(19,500)</w:t>
            </w:r>
          </w:p>
        </w:tc>
      </w:tr>
      <w:tr>
        <w:trPr>
          <w:trHeight w:val="273"/>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1,155</w:t>
            </w:r>
          </w:p>
        </w:tc>
      </w:tr>
      <w:tr>
        <w:trPr>
          <w:trHeight w:val="267"/>
        </w:trPr>
        <w:tc>
          <w:tcPr>
            <w:tcW w:w="6640" w:type="dxa"/>
            <w:vAlign w:val="bottom"/>
          </w:tcPr>
          <w:p>
            <w:pPr>
              <w:ind w:left="40"/>
              <w:spacing w:after="0"/>
              <w:rPr>
                <w:sz w:val="20"/>
                <w:szCs w:val="20"/>
                <w:color w:val="auto"/>
              </w:rPr>
            </w:pPr>
            <w:r>
              <w:rPr>
                <w:rFonts w:ascii="Arial" w:cs="Arial" w:eastAsia="Arial" w:hAnsi="Arial"/>
                <w:sz w:val="16"/>
                <w:szCs w:val="16"/>
                <w:color w:val="auto"/>
              </w:rPr>
              <w:t>Total other income (expense),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22,874</w:t>
            </w:r>
          </w:p>
        </w:tc>
        <w:tc>
          <w:tcPr>
            <w:tcW w:w="12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26,476</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(21,032)</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The decrease in other income (expense), net is primarily due to the currency exchange rate volatility impacting our derivatives that are not designated as hedging instruments, in which our Euro and British Pound contracts are the most significant exposures that we economically hedge. We expect volatility to continue in future periods, as we do not apply hedge accounting for most of our derivative currency contracts.</w:t>
      </w:r>
    </w:p>
    <w:p>
      <w:pPr>
        <w:spacing w:after="0" w:line="177"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We also experienced currency-related gains due to currency exchange rate volatility on our non-functional currency intercompany relationships, which we may alter from time to time. The impact of certain cross-currency swap contracts designated as cash flow hedges is included in our currency-related gains (losses), net, offsetting the impact of certain non-functional currency intercompany relationships.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6" w:lineRule="exact"/>
        <w:rPr>
          <w:sz w:val="20"/>
          <w:szCs w:val="20"/>
          <w:color w:val="auto"/>
        </w:rPr>
      </w:pPr>
    </w:p>
    <w:p>
      <w:pPr>
        <w:ind w:right="80" w:firstLine="661"/>
        <w:spacing w:after="0" w:line="254"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debt discounts, interest related to finance lease obligations and realized gains (losses) on effective interest rate swap contracts and certain cross-currency swap contracts. As part of interest expense, net, we also recognize changes to the estimated future redemption value of our mandatorily redeemable noncontrolling interests.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26" w:right="339" w:bottom="1440" w:gutter="0" w:footer="0" w:header="0"/>
        </w:sectPr>
      </w:pPr>
    </w:p>
    <w:bookmarkStart w:id="41" w:name="page42"/>
    <w:bookmarkEnd w:id="41"/>
    <w:p>
      <w:pPr>
        <w:ind w:right="20" w:firstLine="661"/>
        <w:spacing w:after="0" w:line="253" w:lineRule="auto"/>
        <w:rPr>
          <w:sz w:val="20"/>
          <w:szCs w:val="20"/>
          <w:color w:val="auto"/>
        </w:rPr>
      </w:pPr>
      <w:r>
        <w:rPr>
          <w:rFonts w:ascii="Arial" w:cs="Arial" w:eastAsia="Arial" w:hAnsi="Arial"/>
          <w:sz w:val="18"/>
          <w:szCs w:val="18"/>
          <w:color w:val="auto"/>
        </w:rPr>
        <w:t>Interest expense, net increased by $12.7 million during the year ended June 30, 2020, as compared to the prior comparable period. This is due to additional interest expense associated with our senior secured credit facility as a result of our higher debt borrowing levels throughout the year, combined with the additional $200.0 million offering of our 7% senior unsecured notes in February 2020 and issuance of our $300.0 million 12% second lien notes in May 2020. We expect interest expense to increase next fiscal year from the full year impact of the financing transactions described above. Please refer to Note 10 in the accompanying consolidated financial statements for further detail.</w:t>
      </w:r>
    </w:p>
    <w:p>
      <w:pPr>
        <w:spacing w:after="0" w:line="178" w:lineRule="exact"/>
        <w:rPr>
          <w:sz w:val="20"/>
          <w:szCs w:val="20"/>
          <w:color w:val="auto"/>
        </w:rPr>
      </w:pPr>
    </w:p>
    <w:p>
      <w:pPr>
        <w:ind w:right="380" w:firstLine="661"/>
        <w:spacing w:after="0" w:line="256" w:lineRule="auto"/>
        <w:rPr>
          <w:sz w:val="20"/>
          <w:szCs w:val="20"/>
          <w:color w:val="auto"/>
        </w:rPr>
      </w:pPr>
      <w:r>
        <w:rPr>
          <w:rFonts w:ascii="Arial" w:cs="Arial" w:eastAsia="Arial" w:hAnsi="Arial"/>
          <w:sz w:val="18"/>
          <w:szCs w:val="18"/>
          <w:color w:val="auto"/>
        </w:rPr>
        <w:t>Partially offsetting the increase in interest expense for the year ended June 30, 2020, is a decrease in interest expense of $7.4 million related to the change in classification of our Waltham, Massachusetts lease upon adoption of ASC 842 in the first quarter of fiscal 2020. Refer to Note 2 in the accompanying consolidated financial statements for additional details.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176" w:lineRule="exact"/>
        <w:rPr>
          <w:sz w:val="20"/>
          <w:szCs w:val="20"/>
          <w:color w:val="auto"/>
        </w:rPr>
      </w:pPr>
    </w:p>
    <w:tbl>
      <w:tblPr>
        <w:tblLayout w:type="fixed"/>
        <w:tblInd w:w="100" w:type="dxa"/>
        <w:tblCellMar>
          <w:top w:w="0" w:type="dxa"/>
          <w:left w:w="0" w:type="dxa"/>
          <w:bottom w:w="0" w:type="dxa"/>
          <w:right w:w="0" w:type="dxa"/>
        </w:tblCellMar>
      </w:tblPr>
      <w:tr>
        <w:trPr>
          <w:trHeight w:val="224"/>
        </w:trPr>
        <w:tc>
          <w:tcPr>
            <w:tcW w:w="6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63"/>
        </w:trPr>
        <w:tc>
          <w:tcPr>
            <w:tcW w:w="60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2018</w:t>
            </w: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(80,992)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33,432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19,578</w:t>
            </w:r>
          </w:p>
        </w:tc>
      </w:tr>
      <w:tr>
        <w:trPr>
          <w:trHeight w:val="251"/>
        </w:trPr>
        <w:tc>
          <w:tcPr>
            <w:tcW w:w="60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i w:val="1"/>
                <w:iCs w:val="1"/>
                <w:color w:val="auto"/>
              </w:rPr>
              <w:t>(2,697.0)%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i w:val="1"/>
                <w:iCs w:val="1"/>
                <w:color w:val="auto"/>
              </w:rPr>
              <w:t>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29.5%</w:t>
            </w:r>
          </w:p>
        </w:tc>
      </w:tr>
    </w:tbl>
    <w:p>
      <w:pPr>
        <w:spacing w:after="0" w:line="23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Income tax expense for the year ended June 30, 2020 decreased as compared to the prior year primarily due to Swiss Tax Reform, as discussed in more detail below. Also, in addition to a more favorable mix of earnings year-over-year, we recognized tax benefits of $15.7 million related to excess tax benefits from share based compensation, as compared to $1.5 million in fiscal 2019, and $11.2 million for the re-measurement of U.S. tax losses that will be carried back to tax years with higher U.S. federal tax rates under the U.S. Coronavirus Aid, Relief, and Economic Security Act ("US CARES Act"). We also recognized tax expense of $41.9 million to record a full valuation allowance against our U.S. deferred tax assets and a portion for our Irish deferred tax assets.</w:t>
      </w:r>
    </w:p>
    <w:p>
      <w:pPr>
        <w:spacing w:after="0" w:line="208"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On October 25, 2019, the canton of Zurich enacted tax law changes by publishing the results of its referendum to adopt the Federal Act on Tax Reform and AHV Financing (TRAF), which we refer to as Swiss Tax Reform. Swiss Tax Reform was effective as of January 1, 2020 and included the abolishment of various favorable federal and cantonal tax regimes. Swiss Tax Reform provided transitional relief measures for companies that lost the tax benefit of a ruling, including a "step-up" for amortizable goodwill, equal to the amount of future tax benefit they would have received under their existing ruling, subject to certain limitations. We recognized a tax benefit of $113.5 million to establish new Swiss deferred tax assets related to transitional relief measures and to remeasure our existing Swiss deferred tax assets and liabilities. We don't expect to realize the majority of this benefit until fiscal 2025 through fiscal 2030.</w:t>
      </w:r>
    </w:p>
    <w:p>
      <w:pPr>
        <w:spacing w:after="0" w:line="20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13 in our accompanying consolidated financial statements for additional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segment financial performance is measured based on segment EBITDA, which is defined as operating income plus depreciation and amortization (excluding depreciation and amortization related to our Waltham, Massachusetts office lease for prior periods presented); plus share-based compensation expense related to investment consideration; plus earn-out related charges; plus certain impairments; plus restructuring related charges; less interest expense related to our Waltham, Massachusetts office lease for prior periods presented; less gain on purchase or sale of subsidiaries.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544"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Vistaprint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3"/>
        </w:trPr>
        <w:tc>
          <w:tcPr>
            <w:tcW w:w="3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54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340" w:type="dxa"/>
            <w:vAlign w:val="bottom"/>
            <w:gridSpan w:val="2"/>
          </w:tcPr>
          <w:p>
            <w:pPr>
              <w:ind w:left="220"/>
              <w:spacing w:after="0"/>
              <w:rPr>
                <w:sz w:val="20"/>
                <w:szCs w:val="20"/>
                <w:color w:val="auto"/>
              </w:rPr>
            </w:pPr>
            <w:r>
              <w:rPr>
                <w:rFonts w:ascii="Arial" w:cs="Arial" w:eastAsia="Arial" w:hAnsi="Arial"/>
                <w:sz w:val="13"/>
                <w:szCs w:val="13"/>
                <w:b w:val="1"/>
                <w:bCs w:val="1"/>
                <w:color w:val="auto"/>
              </w:rPr>
              <w:t>2020 vs. 2019</w:t>
            </w:r>
          </w:p>
        </w:tc>
        <w:tc>
          <w:tcPr>
            <w:tcW w:w="1100" w:type="dxa"/>
            <w:vAlign w:val="bottom"/>
          </w:tcPr>
          <w:p>
            <w:pPr>
              <w:ind w:left="140"/>
              <w:spacing w:after="0"/>
              <w:rPr>
                <w:sz w:val="20"/>
                <w:szCs w:val="20"/>
                <w:color w:val="auto"/>
              </w:rPr>
            </w:pPr>
            <w:r>
              <w:rPr>
                <w:rFonts w:ascii="Arial" w:cs="Arial" w:eastAsia="Arial" w:hAnsi="Arial"/>
                <w:sz w:val="13"/>
                <w:szCs w:val="13"/>
                <w:b w:val="1"/>
                <w:bCs w:val="1"/>
                <w:color w:val="auto"/>
              </w:rPr>
              <w:t>2019 vs. 2018</w:t>
            </w: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1,337,291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1,508,322</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1,499,141</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6"/>
                <w:szCs w:val="16"/>
                <w:color w:val="auto"/>
              </w:rPr>
              <w:t>1%</w:t>
            </w: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Segment EBITDA</w:t>
            </w:r>
          </w:p>
        </w:tc>
        <w:tc>
          <w:tcPr>
            <w:tcW w:w="38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366,334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06"/>
              <w:spacing w:after="0"/>
              <w:rPr>
                <w:sz w:val="20"/>
                <w:szCs w:val="20"/>
                <w:color w:val="auto"/>
              </w:rPr>
            </w:pPr>
            <w:r>
              <w:rPr>
                <w:rFonts w:ascii="Arial" w:cs="Arial" w:eastAsia="Arial" w:hAnsi="Arial"/>
                <w:sz w:val="16"/>
                <w:szCs w:val="16"/>
                <w:color w:val="auto"/>
              </w:rPr>
              <w:t>349,697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309,783</w:t>
            </w:r>
          </w:p>
        </w:tc>
        <w:tc>
          <w:tcPr>
            <w:tcW w:w="100" w:type="dxa"/>
            <w:vAlign w:val="bottom"/>
          </w:tcPr>
          <w:p>
            <w:pPr>
              <w:spacing w:after="0"/>
              <w:rPr>
                <w:sz w:val="22"/>
                <w:szCs w:val="22"/>
                <w:color w:val="auto"/>
              </w:rPr>
            </w:pPr>
          </w:p>
        </w:tc>
        <w:tc>
          <w:tcPr>
            <w:tcW w:w="1220" w:type="dxa"/>
            <w:vAlign w:val="bottom"/>
          </w:tcPr>
          <w:p>
            <w:pPr>
              <w:jc w:val="right"/>
              <w:ind w:right="405"/>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100" w:type="dxa"/>
            <w:vAlign w:val="bottom"/>
          </w:tcPr>
          <w:p>
            <w:pPr>
              <w:jc w:val="right"/>
              <w:ind w:right="325"/>
              <w:spacing w:after="0"/>
              <w:rPr>
                <w:sz w:val="20"/>
                <w:szCs w:val="20"/>
                <w:color w:val="auto"/>
              </w:rPr>
            </w:pPr>
            <w:r>
              <w:rPr>
                <w:rFonts w:ascii="Arial" w:cs="Arial" w:eastAsia="Arial" w:hAnsi="Arial"/>
                <w:sz w:val="16"/>
                <w:szCs w:val="16"/>
                <w:color w:val="auto"/>
              </w:rPr>
              <w:t>13%</w:t>
            </w: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Vistaprint's reported revenue decline for the year ended June 30, 2020 was negatively affected by a currency impact of 1% for the year ended June 30, 2020, resulting in constant-currency revenue decline of 10%. The revenue decline was primarily driven by the pandemic, resulting in reduced demand starting in March 2020, which worsened in April, but started to recover during the months of May and June. The improvements in May and June are the result of our shift in focus to products and product templates that our customers need in the current environment, but also the start in many geographies of relaxed government restrictions that has driven more economic activity. While we have experienced improved demand in the last two months of the fiscal year, we expect there to be volatility in future demand, as social distancing measures and other restrictions continue to evolve and impact commerce for small businesses. Additionally, prior to March 2020, reductions in advertising spend resulted in declines in revenue from new customers as a result of our targeted elimination of inefficient advertising spend, although we still experienced growth in repeat customer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For the year ended June 30, 2020, the increase to Vistaprint's segment EBITDA was primarily due to a reduction to, and improved efficiency of, advertising spend. Vistaprint also drove improvements to segment EBITDA through new offers, reduced discounting and other operational improvements. Starting in March segment EBITDA was negatively impacted by lower gross profit driven by decreased demand offset by further reductions to advertising spend as well as other operating cost reduction measures. Segment EBITDA for fiscal 2020 was also impacted by increases in technology investments to rebuild Vistaprint's technology infrastructure and consulting projects related to Vistaprint's transformation efforts. Vistaprint's segment EBITDA was also negatively impacted by currency movements during the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PrintBrothers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4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3"/>
        </w:trPr>
        <w:tc>
          <w:tcPr>
            <w:tcW w:w="3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54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2020 vs. 2019</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2019 vs. 2018</w:t>
            </w: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417,921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443,987</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410,776</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w:t>
            </w: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Segment EBITDA</w:t>
            </w:r>
          </w:p>
        </w:tc>
        <w:tc>
          <w:tcPr>
            <w:tcW w:w="38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39,373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06"/>
              <w:spacing w:after="0"/>
              <w:rPr>
                <w:sz w:val="20"/>
                <w:szCs w:val="20"/>
                <w:color w:val="auto"/>
              </w:rPr>
            </w:pPr>
            <w:r>
              <w:rPr>
                <w:rFonts w:ascii="Arial" w:cs="Arial" w:eastAsia="Arial" w:hAnsi="Arial"/>
                <w:sz w:val="16"/>
                <w:szCs w:val="16"/>
                <w:color w:val="auto"/>
              </w:rPr>
              <w:t>43,474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41,129</w:t>
            </w: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6%</w:t>
            </w: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9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PrintBrothers' reported revenue decline for the year ended June 30, 2020 was negatively affected by a currency impact of 3%, resulting in constant-currency revenue decline, excluding the impact of acquisitions, of 5% for the year ended June 30, 2020. The revenue decline was due to impacts from COVID-19 lock downs and related restrictions, which varied by country. For each business in the group, revenue improved sequentially in May and June as economic activity started to reemerge in many European countries.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PrintBrothers' segment EBITDA decreased during the year ended June 30, 2020 as compared to the prior comparative period, due primarily to the revenue declines as described above. The decrease was also impacted by increased investments in technology intended to improve the customer value proposition of each business and negative impacts from currency movements, partially offset by operating expense efficiencies earlier in the year as well as the vertical integration of a former supplier in one of our businesses during the first quarter of fiscal year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The Print Group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4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3"/>
        </w:trPr>
        <w:tc>
          <w:tcPr>
            <w:tcW w:w="3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54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2020 vs. 2019</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2019 vs. 2018</w:t>
            </w: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275,214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325,872</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320,473</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Segment EBITDA</w:t>
            </w:r>
          </w:p>
        </w:tc>
        <w:tc>
          <w:tcPr>
            <w:tcW w:w="38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51,606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06"/>
              <w:spacing w:after="0"/>
              <w:rPr>
                <w:sz w:val="20"/>
                <w:szCs w:val="20"/>
                <w:color w:val="auto"/>
              </w:rPr>
            </w:pPr>
            <w:r>
              <w:rPr>
                <w:rFonts w:ascii="Arial" w:cs="Arial" w:eastAsia="Arial" w:hAnsi="Arial"/>
                <w:sz w:val="16"/>
                <w:szCs w:val="16"/>
                <w:color w:val="auto"/>
              </w:rPr>
              <w:t>63,997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63,529</w:t>
            </w: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w:t>
            </w: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Print Group's reported revenue decline for the year ended June 30, 2020 was negatively affected by a currency impact of 3%, resulting in a decrease in revenue on a constant-currency basis of 13%. The constant-currency revenue decrease was driven by a significant decline in order volumes during the fourth quarter, and in particular our Pixartprinting business that was more significantly impacted by tighter government restrictions in Italy and Spain, where the business has meaningful revenue. For each business in the group, revenue improved sequentially in May and June as economic activity started to resume in many European countries. While we have experienced improved demand in the last two months of the fiscal year, we expect there to be volatility in future demand, as social distancing measures and other restrictions continue to reduce commerce.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The Print Group's segment EBITDA decreased during the year ended June 30, 2020, as compared to the prior period, primarily driven by the revenue decline described above, as well as investments in technology and unfavorable currency impacts, partially offset by efficiency gains from better leveraging the assets of the group through the mass customization platform (MCP).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50"/>
        </w:trPr>
        <w:tc>
          <w:tcPr>
            <w:tcW w:w="3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4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2020 vs. 2019</w:t>
            </w:r>
          </w:p>
        </w:tc>
        <w:tc>
          <w:tcPr>
            <w:tcW w:w="1100" w:type="dxa"/>
            <w:vAlign w:val="bottom"/>
          </w:tcPr>
          <w:p>
            <w:pPr>
              <w:ind w:left="140"/>
              <w:spacing w:after="0"/>
              <w:rPr>
                <w:sz w:val="20"/>
                <w:szCs w:val="20"/>
                <w:color w:val="auto"/>
              </w:rPr>
            </w:pPr>
            <w:r>
              <w:rPr>
                <w:rFonts w:ascii="Arial" w:cs="Arial" w:eastAsia="Arial" w:hAnsi="Arial"/>
                <w:sz w:val="13"/>
                <w:szCs w:val="13"/>
                <w:b w:val="1"/>
                <w:bCs w:val="1"/>
                <w:color w:val="auto"/>
              </w:rPr>
              <w:t>2019 vs. 2018</w:t>
            </w: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299,474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348,409</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333,266</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6"/>
                <w:szCs w:val="16"/>
                <w:color w:val="auto"/>
              </w:rPr>
              <w:t>5%</w:t>
            </w: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Segment EBITDA</w:t>
            </w:r>
          </w:p>
        </w:tc>
        <w:tc>
          <w:tcPr>
            <w:tcW w:w="38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7,605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06"/>
              <w:spacing w:after="0"/>
              <w:rPr>
                <w:sz w:val="20"/>
                <w:szCs w:val="20"/>
                <w:color w:val="auto"/>
              </w:rPr>
            </w:pPr>
            <w:r>
              <w:rPr>
                <w:rFonts w:ascii="Arial" w:cs="Arial" w:eastAsia="Arial" w:hAnsi="Arial"/>
                <w:sz w:val="16"/>
                <w:szCs w:val="16"/>
                <w:color w:val="auto"/>
              </w:rPr>
              <w:t>17,299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29,438</w:t>
            </w: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1100" w:type="dxa"/>
            <w:vAlign w:val="bottom"/>
          </w:tcPr>
          <w:p>
            <w:pPr>
              <w:jc w:val="right"/>
              <w:ind w:right="265"/>
              <w:spacing w:after="0"/>
              <w:rPr>
                <w:sz w:val="20"/>
                <w:szCs w:val="20"/>
                <w:color w:val="auto"/>
              </w:rPr>
            </w:pPr>
            <w:r>
              <w:rPr>
                <w:rFonts w:ascii="Arial" w:cs="Arial" w:eastAsia="Arial" w:hAnsi="Arial"/>
                <w:sz w:val="16"/>
                <w:szCs w:val="16"/>
                <w:color w:val="auto"/>
              </w:rPr>
              <w:t>(41)%</w:t>
            </w: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National Pen's reported revenue decrease for the year ended June 30, 2020 was negatively affected by a currency impact of 1% as compared to the prior year, resulting in constant-currency revenue decline of 13% for the year ended June 30, 2020. Revenue was negatively impacted starting in March by the pandemic lock downs and related restrictions, as well as actions taken to defer direct mail advertising campaigns until economic activity improves. Prior to the pandemic, the decline in revenue was also driven by lower direct mail volumes which were expected due to our reductions to our prospecting activity spend targeted at reducing inefficient mail order advertising.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decrease in National Pen's segment EBITDA for the year ended June 30, 2020, was due to the top-line revenue decline described above. A portion of the revenue decline was mitigated by proactive measures to quickly remove variable costs as well as some fixed costs, while protecting key multi-year investments in technology. In addition, we have realized operational improvements, which included the initial steps of migrating our European mail fulfillment from Mexico to Europe to reduce disruptions that occurred in transit during the prior year period. Currency had a negative impact on segment EBITDA for the year ended June 30,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5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All Other Businesses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0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3"/>
        </w:trPr>
        <w:tc>
          <w:tcPr>
            <w:tcW w:w="3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56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56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22"/>
                <w:szCs w:val="22"/>
                <w:color w:val="auto"/>
              </w:rPr>
            </w:pPr>
          </w:p>
        </w:tc>
        <w:tc>
          <w:tcPr>
            <w:tcW w:w="1320" w:type="dxa"/>
            <w:vAlign w:val="bottom"/>
            <w:gridSpan w:val="2"/>
          </w:tcPr>
          <w:p>
            <w:pPr>
              <w:ind w:left="200"/>
              <w:spacing w:after="0"/>
              <w:rPr>
                <w:sz w:val="20"/>
                <w:szCs w:val="20"/>
                <w:color w:val="auto"/>
              </w:rPr>
            </w:pPr>
            <w:r>
              <w:rPr>
                <w:rFonts w:ascii="Arial" w:cs="Arial" w:eastAsia="Arial" w:hAnsi="Arial"/>
                <w:sz w:val="13"/>
                <w:szCs w:val="13"/>
                <w:b w:val="1"/>
                <w:bCs w:val="1"/>
                <w:color w:val="auto"/>
              </w:rPr>
              <w:t>2020 vs. 2019</w:t>
            </w:r>
          </w:p>
        </w:tc>
        <w:tc>
          <w:tcPr>
            <w:tcW w:w="1100" w:type="dxa"/>
            <w:vAlign w:val="bottom"/>
          </w:tcPr>
          <w:p>
            <w:pPr>
              <w:ind w:left="140"/>
              <w:spacing w:after="0"/>
              <w:rPr>
                <w:sz w:val="20"/>
                <w:szCs w:val="20"/>
                <w:color w:val="auto"/>
              </w:rPr>
            </w:pPr>
            <w:r>
              <w:rPr>
                <w:rFonts w:ascii="Arial" w:cs="Arial" w:eastAsia="Arial" w:hAnsi="Arial"/>
                <w:sz w:val="13"/>
                <w:szCs w:val="13"/>
                <w:b w:val="1"/>
                <w:bCs w:val="1"/>
                <w:color w:val="auto"/>
              </w:rPr>
              <w:t>2019 vs. 2018</w:t>
            </w:r>
          </w:p>
        </w:tc>
      </w:tr>
      <w:tr>
        <w:trPr>
          <w:trHeight w:val="25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 (1)</w:t>
            </w: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173,789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6"/>
                <w:szCs w:val="16"/>
                <w:color w:val="auto"/>
              </w:rPr>
              <w:t>136,202</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6"/>
                <w:szCs w:val="16"/>
                <w:color w:val="auto"/>
              </w:rPr>
              <w:t>40,230</w:t>
            </w:r>
          </w:p>
        </w:tc>
        <w:tc>
          <w:tcPr>
            <w:tcW w:w="10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6"/>
                <w:szCs w:val="16"/>
                <w:color w:val="auto"/>
              </w:rPr>
              <w:t>239%</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Segment EBITDA (1)</w:t>
            </w:r>
          </w:p>
        </w:tc>
        <w:tc>
          <w:tcPr>
            <w:tcW w:w="360" w:type="dxa"/>
            <w:vAlign w:val="bottom"/>
          </w:tcPr>
          <w:p>
            <w:pPr>
              <w:spacing w:after="0"/>
              <w:rPr>
                <w:sz w:val="22"/>
                <w:szCs w:val="22"/>
                <w:color w:val="auto"/>
              </w:rPr>
            </w:pPr>
          </w:p>
        </w:tc>
        <w:tc>
          <w:tcPr>
            <w:tcW w:w="1140" w:type="dxa"/>
            <w:vAlign w:val="bottom"/>
          </w:tcPr>
          <w:p>
            <w:pPr>
              <w:jc w:val="right"/>
              <w:ind w:right="104"/>
              <w:spacing w:after="0"/>
              <w:rPr>
                <w:sz w:val="20"/>
                <w:szCs w:val="20"/>
                <w:color w:val="auto"/>
              </w:rPr>
            </w:pPr>
            <w:r>
              <w:rPr>
                <w:rFonts w:ascii="Arial" w:cs="Arial" w:eastAsia="Arial" w:hAnsi="Arial"/>
                <w:sz w:val="16"/>
                <w:szCs w:val="16"/>
                <w:color w:val="auto"/>
              </w:rPr>
              <w:t>17,474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06"/>
              <w:spacing w:after="0"/>
              <w:rPr>
                <w:sz w:val="20"/>
                <w:szCs w:val="20"/>
                <w:color w:val="auto"/>
              </w:rPr>
            </w:pPr>
            <w:r>
              <w:rPr>
                <w:rFonts w:ascii="Arial" w:cs="Arial" w:eastAsia="Arial" w:hAnsi="Arial"/>
                <w:sz w:val="16"/>
                <w:szCs w:val="16"/>
                <w:color w:val="auto"/>
              </w:rPr>
              <w:t>(6,317)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04"/>
              <w:spacing w:after="0"/>
              <w:rPr>
                <w:sz w:val="20"/>
                <w:szCs w:val="20"/>
                <w:color w:val="auto"/>
              </w:rPr>
            </w:pPr>
            <w:r>
              <w:rPr>
                <w:rFonts w:ascii="Arial" w:cs="Arial" w:eastAsia="Arial" w:hAnsi="Arial"/>
                <w:sz w:val="16"/>
                <w:szCs w:val="16"/>
                <w:color w:val="auto"/>
              </w:rPr>
              <w:t>(10,603)</w:t>
            </w:r>
          </w:p>
        </w:tc>
        <w:tc>
          <w:tcPr>
            <w:tcW w:w="100" w:type="dxa"/>
            <w:vAlign w:val="bottom"/>
          </w:tcPr>
          <w:p>
            <w:pPr>
              <w:spacing w:after="0"/>
              <w:rPr>
                <w:sz w:val="22"/>
                <w:szCs w:val="22"/>
                <w:color w:val="auto"/>
              </w:rPr>
            </w:pPr>
          </w:p>
        </w:tc>
        <w:tc>
          <w:tcPr>
            <w:tcW w:w="1200" w:type="dxa"/>
            <w:vAlign w:val="bottom"/>
          </w:tcPr>
          <w:p>
            <w:pPr>
              <w:jc w:val="right"/>
              <w:ind w:right="305"/>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2"/>
                <w:szCs w:val="22"/>
                <w:color w:val="auto"/>
              </w:rPr>
            </w:pPr>
          </w:p>
        </w:tc>
        <w:tc>
          <w:tcPr>
            <w:tcW w:w="1100" w:type="dxa"/>
            <w:vAlign w:val="bottom"/>
          </w:tcPr>
          <w:p>
            <w:pPr>
              <w:jc w:val="right"/>
              <w:ind w:right="325"/>
              <w:spacing w:after="0"/>
              <w:rPr>
                <w:sz w:val="20"/>
                <w:szCs w:val="20"/>
                <w:color w:val="auto"/>
              </w:rPr>
            </w:pPr>
            <w:r>
              <w:rPr>
                <w:rFonts w:ascii="Arial" w:cs="Arial" w:eastAsia="Arial" w:hAnsi="Arial"/>
                <w:sz w:val="16"/>
                <w:szCs w:val="16"/>
                <w:color w:val="auto"/>
              </w:rPr>
              <w:t>40%</w:t>
            </w: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177"/>
        </w:trPr>
        <w:tc>
          <w:tcPr>
            <w:tcW w:w="3900" w:type="dxa"/>
            <w:vAlign w:val="bottom"/>
          </w:tcPr>
          <w:p>
            <w:pPr>
              <w:spacing w:after="0"/>
              <w:rPr>
                <w:sz w:val="20"/>
                <w:szCs w:val="20"/>
                <w:color w:val="auto"/>
              </w:rPr>
            </w:pPr>
            <w:r>
              <w:rPr>
                <w:rFonts w:ascii="Arial" w:cs="Arial" w:eastAsia="Arial" w:hAnsi="Arial"/>
                <w:sz w:val="14"/>
                <w:szCs w:val="14"/>
                <w:color w:val="auto"/>
              </w:rPr>
              <w:t>___________________</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98" w:lineRule="exact"/>
        <w:rPr>
          <w:sz w:val="20"/>
          <w:szCs w:val="20"/>
          <w:color w:val="auto"/>
        </w:rPr>
      </w:pPr>
    </w:p>
    <w:p>
      <w:pPr>
        <w:ind w:left="260" w:right="120" w:hanging="252"/>
        <w:spacing w:after="0" w:line="258" w:lineRule="auto"/>
        <w:tabs>
          <w:tab w:leader="none" w:pos="233"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All Other Businesses segment includes the results of our fiscal 2019 acquisition, BuildASign, from October 1, 2018, and our VIDA acquisition from July 2, 2018 through the divestiture date of April 10, 2020.</w:t>
      </w:r>
    </w:p>
    <w:p>
      <w:pPr>
        <w:spacing w:after="0" w:line="16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With the exception of BuildASign which is a larger and profitable business, this segment consists of multiple small, rapidly evolving early-stage businesses through which Cimpress is expanding to new markets. These businesses are subject to high degrees of risk and we expect that each of their business models will rapidly evolve in function of future trials and entrepreneurial pivoting. These early-stage businesses continue to have operating losses as previously described and as planned.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Organic constant-currency revenue, excluding the year-over-year impact of the BuildASign acquisition during the first quarter of fiscal year 2020 during which there was no comparative revenue in the year-ago period, increased by 4% for the year ended June 30, 2020. This was primarily driven by growth throughout the year at BuildASign, even during the pandemic with strength in home decor and pandemic-related signage products. All Other Businesses revenue was negatively impacted by a decrease in revenue in our Printi business as compared to the prior year period, primarily due to actions we have taken to improve the efficiency and focus of the business, which included foregoing certain revenue channels that we believe did not have a high probability of earning sufficient returns on the capital and focus they consumed.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improvement in the All Other Businesses segment EBITDA for the year ended June 30, 2020, as compared to the prior period, was primarily due to EBITDA growth of BuildASign primarily driven by the revenue growth described above and the timing of the acquisition. Additionally, we significantly reduced the losses of our Printi business, due to the fiscal 2019 restructuring of our Printi business, which included clarifying its focus and operating model.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and Corporate Costs</w:t>
      </w:r>
    </w:p>
    <w:p>
      <w:pPr>
        <w:spacing w:after="0" w:line="220" w:lineRule="exact"/>
        <w:rPr>
          <w:sz w:val="20"/>
          <w:szCs w:val="20"/>
          <w:color w:val="auto"/>
        </w:rPr>
      </w:pPr>
    </w:p>
    <w:p>
      <w:pPr>
        <w:jc w:val="both"/>
        <w:ind w:right="320" w:firstLine="648"/>
        <w:spacing w:after="0" w:line="253"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78"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Central and corporate costs increased by $23.1 million during the year ended June 30, 2020 as compared to the prior year, driven by increases to share-based compensation of $13.2 million. The increase to share-based compensation is driven by the prior year benefit recognized for the reversal of expense associated our supplemental PSUs, that did not recur in the current period. We also recognized an increase in professional fees of $2.9 million, primarily due to the December 2019 Irish Merger and April 2020 financing activities, an additional $1.2 million of payroll taxes for option exercises, as well as an increase in central technology investments and operating costs driven by our businesses' increased adoption and usage of our central technology capabilities.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6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63"/>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2018</w:t>
            </w: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338,444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331,095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192,332</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(66,864)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(420,166)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(10,594)</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81,989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(177,757)</w:t>
            </w:r>
          </w:p>
        </w:tc>
      </w:tr>
    </w:tbl>
    <w:p>
      <w:pPr>
        <w:spacing w:after="0" w:line="188"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At June 30, 2020, we had $45.0 million of cash and cash equivalents and $1,482.2 million of debt, excluding debt issuance costs, and debt premiums and discounts. Under the terms of our April 28, 2020 credit facility amendment, we are required to use cash balances in excess of $100.0 million, if any, to repay the revolving loans under our senior secured credit facility.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flows during the year ended June 30, 2020 related primarily to the following items: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income of $84.0 million</w:t>
      </w:r>
    </w:p>
    <w:p>
      <w:pPr>
        <w:spacing w:after="0" w:line="198"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Adjustments for non-cash items of $215.0 million primarily related to positive adjustments for depreciation and amortization of $167.9 million, goodwill impairment of $100.8 million, share-based compensation costs of $34.9 million and unrealized currency-related losses of $6.9 million, partially offset by non-cash tax related items of $106.9 million</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of debt and warrants of $426.1 million, net of repayments and debt issuance costs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Proceeds from the settlement of net investment hedges of $29.8 million</w:t>
      </w:r>
    </w:p>
    <w:p>
      <w:pPr>
        <w:spacing w:after="0" w:line="198"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change in operating assets and liabilities were a source of cash during the period, driven by actions taken in response to the pandemic, which included partnering with suppliers and leaseholders to defer payments, as well as receiving timing relief for indirect taxes and employer taxes in certain jurisdictions.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Purchases of our ordinary shares for $627.1 million</w:t>
      </w:r>
    </w:p>
    <w:p>
      <w:pPr>
        <w:spacing w:after="0" w:line="198"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expenditures of $50.5 million of which the majority related to the purchase of manufacturing and automation equipment for our production facilities and computer and office equipment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$44.0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 of withholding taxes in connection with share awards of $41.7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Payments for finance lease arrangements of $9.5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Payments for acquisitions of $4.3 million, net of cash acquired</w:t>
      </w:r>
    </w:p>
    <w:p>
      <w:pPr>
        <w:spacing w:after="0" w:line="18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year ended June 30, 2020, we financed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investments through internally generated cash flows from operations and debt financing. As of June 30, 2020, a portion of our cash and cash equivalents were held by our subsidiaries, and undistributed earnings of our subsidiaries that are considered to be indefinitely reinvested were $ 36.6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22" w:right="339" w:bottom="1440" w:gutter="0" w:footer="0" w:header="0"/>
        </w:sectPr>
      </w:pPr>
    </w:p>
    <w:bookmarkStart w:id="46" w:name="page47"/>
    <w:bookmarkEnd w:id="46"/>
    <w:p>
      <w:pPr>
        <w:ind w:right="80" w:firstLine="648"/>
        <w:spacing w:after="0" w:line="251" w:lineRule="auto"/>
        <w:rPr>
          <w:sz w:val="20"/>
          <w:szCs w:val="20"/>
          <w:color w:val="auto"/>
        </w:rPr>
      </w:pPr>
      <w:r>
        <w:rPr>
          <w:rFonts w:ascii="Arial" w:cs="Arial" w:eastAsia="Arial" w:hAnsi="Arial"/>
          <w:sz w:val="18"/>
          <w:szCs w:val="18"/>
          <w:color w:val="auto"/>
        </w:rPr>
        <w:t>Due to the uncertainty created by the COVID-19 pandemic, we took proactive measures to maintain our financial strength and flexibility by raising $300.0 million of capital on May 1, 2020 by issuing second lien notes and warrants. The net proceeds of this capital raise were used to pay down a portion of the term loans under our senior secured credit facility in order to secure the suspension of our quarterly maintenance covenants related to our leverage and interest coverage ratios until the quarter ending December 31, 2021. Refer to Note 10 in our accompanying consolidated financial statements for additional details. In response to the pandemic-related decrease in revenue, we have taken actions to reduce cash costs while protecting key investments we were making prior to the pandemic. We have historically allocated a material amount of capital to purchases of our ordinary shares and corporate acquisitions. The April 2020 amendment to our credit facility prohibits us from repurchasing our shares and substantially limits acquisitions for the period in which the financial maintenance covenants associated with our senior secured credit facility are suspended.</w:t>
      </w:r>
    </w:p>
    <w:p>
      <w:pPr>
        <w:spacing w:after="0" w:line="266"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We evaluated our liquidity position as of the date of the issuance of our consolidated financial statements and we conclude our financial position, net cash provided by operations combined with our cash and cash equivalents, borrowing availability under our revolving credit facility, and the May 2020 temporary maintenance covenant suspension and capital raise as described in Note 10 will be sufficient to fund our current obligations, capital spending, debt service requirements and working capital requirements over at least the next twelve months.</w:t>
      </w:r>
    </w:p>
    <w:p>
      <w:pPr>
        <w:spacing w:after="0" w:line="24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As of June 30, 2020, we had aggregate loan commitments from our senior secured credit facility totaling $998.1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commitments consisted of revolving loan borrowings of $422.4 million and term loans of $148.1 million. We have other financial obligations that constitute additional indebtedness based on the definitions within the credit facility. As of June 30, 2020, the amount available for borrowing under our senior secured credit facility was as follows: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June 30, 2020</w:t>
            </w:r>
          </w:p>
        </w:tc>
        <w:tc>
          <w:tcPr>
            <w:tcW w:w="0" w:type="dxa"/>
            <w:vAlign w:val="bottom"/>
          </w:tcPr>
          <w:p>
            <w:pPr>
              <w:spacing w:after="0"/>
              <w:rPr>
                <w:sz w:val="1"/>
                <w:szCs w:val="1"/>
                <w:color w:val="auto"/>
              </w:rPr>
            </w:pPr>
          </w:p>
        </w:tc>
      </w:tr>
      <w:tr>
        <w:trPr>
          <w:trHeight w:val="233"/>
        </w:trPr>
        <w:tc>
          <w:tcPr>
            <w:tcW w:w="9560" w:type="dxa"/>
            <w:vAlign w:val="bottom"/>
          </w:tcPr>
          <w:p>
            <w:pPr>
              <w:ind w:left="40"/>
              <w:spacing w:after="0"/>
              <w:rPr>
                <w:sz w:val="20"/>
                <w:szCs w:val="20"/>
                <w:color w:val="auto"/>
              </w:rPr>
            </w:pPr>
            <w:r>
              <w:rPr>
                <w:rFonts w:ascii="Arial" w:cs="Arial" w:eastAsia="Arial" w:hAnsi="Arial"/>
                <w:sz w:val="16"/>
                <w:szCs w:val="16"/>
                <w:color w:val="auto"/>
              </w:rPr>
              <w:t>Maximum aggregate available for borrowing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998,125</w:t>
            </w:r>
          </w:p>
        </w:tc>
        <w:tc>
          <w:tcPr>
            <w:tcW w:w="0" w:type="dxa"/>
            <w:vAlign w:val="bottom"/>
          </w:tcPr>
          <w:p>
            <w:pPr>
              <w:spacing w:after="0"/>
              <w:rPr>
                <w:sz w:val="1"/>
                <w:szCs w:val="1"/>
                <w:color w:val="auto"/>
              </w:rPr>
            </w:pPr>
          </w:p>
        </w:tc>
      </w:tr>
      <w:tr>
        <w:trPr>
          <w:trHeight w:val="246"/>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borrowings of senior secured credit facility</w:t>
            </w: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(570,483)</w:t>
            </w:r>
          </w:p>
        </w:tc>
        <w:tc>
          <w:tcPr>
            <w:tcW w:w="0" w:type="dxa"/>
            <w:vAlign w:val="bottom"/>
          </w:tcPr>
          <w:p>
            <w:pPr>
              <w:spacing w:after="0"/>
              <w:rPr>
                <w:sz w:val="1"/>
                <w:szCs w:val="1"/>
                <w:color w:val="auto"/>
              </w:rPr>
            </w:pPr>
          </w:p>
        </w:tc>
      </w:tr>
      <w:tr>
        <w:trPr>
          <w:trHeight w:val="233"/>
        </w:trPr>
        <w:tc>
          <w:tcPr>
            <w:tcW w:w="9560" w:type="dxa"/>
            <w:vAlign w:val="bottom"/>
          </w:tcPr>
          <w:p>
            <w:pPr>
              <w:ind w:left="40"/>
              <w:spacing w:after="0"/>
              <w:rPr>
                <w:sz w:val="20"/>
                <w:szCs w:val="20"/>
                <w:color w:val="auto"/>
              </w:rPr>
            </w:pPr>
            <w:r>
              <w:rPr>
                <w:rFonts w:ascii="Arial" w:cs="Arial" w:eastAsia="Arial" w:hAnsi="Arial"/>
                <w:sz w:val="16"/>
                <w:szCs w:val="16"/>
                <w:color w:val="auto"/>
              </w:rPr>
              <w:t>Remaining amount</w:t>
            </w:r>
          </w:p>
        </w:tc>
        <w:tc>
          <w:tcPr>
            <w:tcW w:w="260" w:type="dxa"/>
            <w:vAlign w:val="bottom"/>
          </w:tcPr>
          <w:p>
            <w:pPr>
              <w:spacing w:after="0"/>
              <w:rPr>
                <w:sz w:val="20"/>
                <w:szCs w:val="20"/>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427,642</w:t>
            </w:r>
          </w:p>
        </w:tc>
        <w:tc>
          <w:tcPr>
            <w:tcW w:w="0" w:type="dxa"/>
            <w:vAlign w:val="bottom"/>
          </w:tcPr>
          <w:p>
            <w:pPr>
              <w:spacing w:after="0"/>
              <w:rPr>
                <w:sz w:val="1"/>
                <w:szCs w:val="1"/>
                <w:color w:val="auto"/>
              </w:rPr>
            </w:pPr>
          </w:p>
        </w:tc>
      </w:tr>
      <w:tr>
        <w:trPr>
          <w:trHeight w:val="246"/>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Limitations to borrowing due to debt covenants and other obligations (1)</w:t>
            </w:r>
          </w:p>
        </w:tc>
        <w:tc>
          <w:tcPr>
            <w:tcW w:w="2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0" w:type="dxa"/>
            <w:vAlign w:val="bottom"/>
          </w:tcPr>
          <w:p>
            <w:pPr>
              <w:spacing w:after="0"/>
              <w:rPr>
                <w:sz w:val="1"/>
                <w:szCs w:val="1"/>
                <w:color w:val="auto"/>
              </w:rPr>
            </w:pPr>
          </w:p>
        </w:tc>
      </w:tr>
      <w:tr>
        <w:trPr>
          <w:trHeight w:val="237"/>
        </w:trPr>
        <w:tc>
          <w:tcPr>
            <w:tcW w:w="9560" w:type="dxa"/>
            <w:vAlign w:val="bottom"/>
          </w:tcPr>
          <w:p>
            <w:pPr>
              <w:ind w:left="40"/>
              <w:spacing w:after="0"/>
              <w:rPr>
                <w:sz w:val="20"/>
                <w:szCs w:val="20"/>
                <w:color w:val="auto"/>
              </w:rPr>
            </w:pPr>
            <w:r>
              <w:rPr>
                <w:rFonts w:ascii="Arial" w:cs="Arial" w:eastAsia="Arial" w:hAnsi="Arial"/>
                <w:sz w:val="16"/>
                <w:szCs w:val="16"/>
                <w:color w:val="auto"/>
              </w:rPr>
              <w:t>Amount available for borrowing as of June 30, 2020 (2)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423,668</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500" w:hanging="252"/>
        <w:spacing w:after="0" w:line="241"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 of June 30, 2020, our pre-existing financial maintenance covenants are suspended and we are in compliance with the new restrictions in place, with the primary maintenance covenant during the suspension period that we must maintain liquidity above $50.0 million. Refer to Note 10 in our accompanying consolidated financial statements for further description of the restrictions in place during the covenant suspension period.</w:t>
      </w:r>
    </w:p>
    <w:p>
      <w:pPr>
        <w:spacing w:after="0" w:line="1" w:lineRule="exact"/>
        <w:rPr>
          <w:rFonts w:ascii="Arial" w:cs="Arial" w:eastAsia="Arial" w:hAnsi="Arial"/>
          <w:sz w:val="14"/>
          <w:szCs w:val="14"/>
          <w:color w:val="auto"/>
        </w:rPr>
      </w:pPr>
    </w:p>
    <w:p>
      <w:pPr>
        <w:ind w:left="260" w:right="20" w:hanging="252"/>
        <w:spacing w:after="0" w:line="258" w:lineRule="auto"/>
        <w:tabs>
          <w:tab w:leader="none" w:pos="233"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 purchases, dividend payments, and corporate acquisitions are subject to more restrictive covenants, and therefore we may not be able to use the full amount available for borrowing for these purposes.</w:t>
      </w:r>
    </w:p>
    <w:p>
      <w:pPr>
        <w:spacing w:after="0" w:line="14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As part of the April 2020 amendment to our senior secured facility, we have suspended our pre-existing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covenants, including the total and senior secured leverage covenants and interest coverage ratio covenant through December 31, 2021. Refer to Note 10 in our accompanying consolidated financial statements for additional information. As of June 30, 2020, we are in compliance with the applicable restrictions under our credit agreement, senior unsecured notes indenture, and second lien notes indenture in place during the covenant suspension period.</w:t>
      </w:r>
    </w:p>
    <w:p>
      <w:pPr>
        <w:spacing w:after="0" w:line="156"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i w:val="1"/>
          <w:iCs w:val="1"/>
          <w:color w:val="auto"/>
        </w:rPr>
        <w:t>Other Debt</w:t>
      </w:r>
      <w:r>
        <w:rPr>
          <w:rFonts w:ascii="Arial" w:cs="Arial" w:eastAsia="Arial" w:hAnsi="Arial"/>
          <w:sz w:val="18"/>
          <w:szCs w:val="18"/>
          <w:color w:val="auto"/>
        </w:rPr>
        <w:t>. Other debt primarily consists of term loans acquired through our various acquisitions or used to fund certain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As of June 30, 2020, we had $11.7 million outstanding for other debt payable through March 2025.</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4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June 30, 2020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Payments Due by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40"/>
        </w:trPr>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ind w:right="224"/>
              <w:spacing w:after="0" w:line="140" w:lineRule="exact"/>
              <w:rPr>
                <w:sz w:val="20"/>
                <w:szCs w:val="20"/>
                <w:color w:val="auto"/>
              </w:rPr>
            </w:pPr>
            <w:r>
              <w:rPr>
                <w:rFonts w:ascii="Arial" w:cs="Arial" w:eastAsia="Arial" w:hAnsi="Arial"/>
                <w:sz w:val="13"/>
                <w:szCs w:val="13"/>
                <w:b w:val="1"/>
                <w:bCs w:val="1"/>
                <w:color w:val="auto"/>
              </w:rPr>
              <w:t>Less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center"/>
              <w:ind w:right="224"/>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9"/>
              </w:rPr>
              <w:t>than 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center"/>
              <w:ind w:right="223"/>
              <w:spacing w:after="0" w:line="135" w:lineRule="exact"/>
              <w:rPr>
                <w:sz w:val="20"/>
                <w:szCs w:val="20"/>
                <w:color w:val="auto"/>
              </w:rPr>
            </w:pPr>
            <w:r>
              <w:rPr>
                <w:rFonts w:ascii="Arial" w:cs="Arial" w:eastAsia="Arial" w:hAnsi="Arial"/>
                <w:sz w:val="13"/>
                <w:szCs w:val="13"/>
                <w:b w:val="1"/>
                <w:bCs w:val="1"/>
                <w:color w:val="auto"/>
                <w:w w:val="95"/>
              </w:rPr>
              <w:t>1-3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9"/>
              </w:rPr>
              <w:t>than 5</w:t>
            </w:r>
          </w:p>
        </w:tc>
      </w:tr>
      <w:tr>
        <w:trPr>
          <w:trHeight w:val="177"/>
        </w:trPr>
        <w:tc>
          <w:tcPr>
            <w:tcW w:w="40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4"/>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9"/>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4"/>
              <w:spacing w:after="0"/>
              <w:rPr>
                <w:sz w:val="20"/>
                <w:szCs w:val="20"/>
                <w:color w:val="auto"/>
              </w:rPr>
            </w:pPr>
            <w:r>
              <w:rPr>
                <w:rFonts w:ascii="Arial" w:cs="Arial" w:eastAsia="Arial" w:hAnsi="Arial"/>
                <w:sz w:val="13"/>
                <w:szCs w:val="13"/>
                <w:b w:val="1"/>
                <w:bCs w:val="1"/>
                <w:color w:val="auto"/>
                <w:w w:val="94"/>
              </w:rPr>
              <w:t>years</w:t>
            </w: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 net of subleases (1)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160,697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36,848</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50,988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33,269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39,592</w:t>
            </w:r>
          </w:p>
        </w:tc>
      </w:tr>
      <w:tr>
        <w:trPr>
          <w:trHeight w:val="260"/>
        </w:trPr>
        <w:tc>
          <w:tcPr>
            <w:tcW w:w="4060" w:type="dxa"/>
            <w:vAlign w:val="bottom"/>
          </w:tcPr>
          <w:p>
            <w:pPr>
              <w:ind w:left="40"/>
              <w:spacing w:after="0"/>
              <w:rPr>
                <w:sz w:val="20"/>
                <w:szCs w:val="20"/>
                <w:color w:val="auto"/>
              </w:rPr>
            </w:pPr>
            <w:r>
              <w:rPr>
                <w:rFonts w:ascii="Arial" w:cs="Arial" w:eastAsia="Arial" w:hAnsi="Arial"/>
                <w:sz w:val="16"/>
                <w:szCs w:val="16"/>
                <w:color w:val="auto"/>
              </w:rPr>
              <w:t>Purchase commitments</w:t>
            </w:r>
          </w:p>
        </w:tc>
        <w:tc>
          <w:tcPr>
            <w:tcW w:w="3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109,728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47,939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44,456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17,333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w:t>
            </w:r>
          </w:p>
        </w:tc>
      </w:tr>
      <w:tr>
        <w:trPr>
          <w:trHeight w:val="28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unsecured notes and interest payments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852,000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42,000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84,000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84,000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642,000</w:t>
            </w:r>
          </w:p>
        </w:tc>
      </w:tr>
      <w:tr>
        <w:trPr>
          <w:trHeight w:val="260"/>
        </w:trPr>
        <w:tc>
          <w:tcPr>
            <w:tcW w:w="4060" w:type="dxa"/>
            <w:vAlign w:val="bottom"/>
          </w:tcPr>
          <w:p>
            <w:pPr>
              <w:ind w:left="40"/>
              <w:spacing w:after="0"/>
              <w:rPr>
                <w:sz w:val="20"/>
                <w:szCs w:val="20"/>
                <w:color w:val="auto"/>
              </w:rPr>
            </w:pPr>
            <w:r>
              <w:rPr>
                <w:rFonts w:ascii="Arial" w:cs="Arial" w:eastAsia="Arial" w:hAnsi="Arial"/>
                <w:sz w:val="16"/>
                <w:szCs w:val="16"/>
                <w:color w:val="auto"/>
              </w:rPr>
              <w:t>Second lien notes and interest payments</w:t>
            </w:r>
          </w:p>
        </w:tc>
        <w:tc>
          <w:tcPr>
            <w:tcW w:w="3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481,500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37,500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72,000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372,000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w:t>
            </w:r>
          </w:p>
        </w:tc>
      </w:tr>
      <w:tr>
        <w:trPr>
          <w:trHeight w:val="28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debt and interest payments (2)</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727,649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60,167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101,054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566,428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60"/>
        </w:trPr>
        <w:tc>
          <w:tcPr>
            <w:tcW w:w="4060" w:type="dxa"/>
            <w:vAlign w:val="bottom"/>
          </w:tcPr>
          <w:p>
            <w:pPr>
              <w:ind w:left="40"/>
              <w:spacing w:after="0"/>
              <w:rPr>
                <w:sz w:val="20"/>
                <w:szCs w:val="20"/>
                <w:color w:val="auto"/>
              </w:rPr>
            </w:pPr>
            <w:r>
              <w:rPr>
                <w:rFonts w:ascii="Arial" w:cs="Arial" w:eastAsia="Arial" w:hAnsi="Arial"/>
                <w:sz w:val="16"/>
                <w:szCs w:val="16"/>
                <w:color w:val="auto"/>
              </w:rPr>
              <w:t>Finance leases, net of subleases (1)</w:t>
            </w:r>
          </w:p>
        </w:tc>
        <w:tc>
          <w:tcPr>
            <w:tcW w:w="3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22,421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6,885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10,852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3,302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1,382</w:t>
            </w:r>
          </w:p>
        </w:tc>
      </w:tr>
      <w:tr>
        <w:trPr>
          <w:trHeight w:val="273"/>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2,289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737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40"/>
        </w:trPr>
        <w:tc>
          <w:tcPr>
            <w:tcW w:w="4060" w:type="dxa"/>
            <w:vAlign w:val="bottom"/>
          </w:tcPr>
          <w:p>
            <w:pPr>
              <w:ind w:left="40"/>
              <w:spacing w:after="0"/>
              <w:rPr>
                <w:sz w:val="20"/>
                <w:szCs w:val="20"/>
                <w:color w:val="auto"/>
              </w:rPr>
            </w:pPr>
            <w:r>
              <w:rPr>
                <w:rFonts w:ascii="Arial" w:cs="Arial" w:eastAsia="Arial" w:hAnsi="Arial"/>
                <w:sz w:val="16"/>
                <w:szCs w:val="16"/>
                <w:color w:val="auto"/>
              </w:rPr>
              <w:t>Total (3)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2,356,284</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232,857</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364,087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1,076,366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682,974</w:t>
            </w:r>
          </w:p>
        </w:tc>
      </w:tr>
      <w:tr>
        <w:trPr>
          <w:trHeight w:val="20"/>
        </w:trPr>
        <w:tc>
          <w:tcPr>
            <w:tcW w:w="4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20" w:hanging="252"/>
        <w:spacing w:after="0" w:line="258"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Operating and finance lease payments included above include only amounts which are fixed under lease agreements. Our leases may also incur variable expenses. Refer to our lease accounting policy in Note 2 in our accompanying consolidated financial statements for additional information.</w:t>
      </w:r>
    </w:p>
    <w:p>
      <w:pPr>
        <w:spacing w:after="0" w:line="31" w:lineRule="exact"/>
        <w:rPr>
          <w:rFonts w:ascii="Arial" w:cs="Arial" w:eastAsia="Arial" w:hAnsi="Arial"/>
          <w:sz w:val="14"/>
          <w:szCs w:val="14"/>
          <w:color w:val="auto"/>
        </w:rPr>
      </w:pPr>
    </w:p>
    <w:p>
      <w:pPr>
        <w:ind w:left="260" w:right="140" w:hanging="252"/>
        <w:spacing w:after="0" w:line="249"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debt and interest payments include the effects of interest rate swaps, whether they are expected to be payments or receipts of cash. We have excluded the effect of interest rate swaps of $2.0 million within the more than five years category above as that period extends beyond the term of our debt and the interest rate swaps do not yet offset contractual interest payments.</w:t>
      </w:r>
    </w:p>
    <w:p>
      <w:pPr>
        <w:spacing w:after="0" w:line="65" w:lineRule="exact"/>
        <w:rPr>
          <w:rFonts w:ascii="Arial" w:cs="Arial" w:eastAsia="Arial" w:hAnsi="Arial"/>
          <w:sz w:val="14"/>
          <w:szCs w:val="14"/>
          <w:color w:val="auto"/>
        </w:rPr>
      </w:pPr>
    </w:p>
    <w:p>
      <w:pPr>
        <w:ind w:left="260" w:right="400" w:hanging="252"/>
        <w:spacing w:after="0" w:line="247"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$6.2 million as of June 30, 2020 have been excluded from the contractual obligations table above. For further information on uncertain tax positions, see Note 13 in our accompanying consolidated financial statements.</w:t>
      </w:r>
    </w:p>
    <w:p>
      <w:pPr>
        <w:spacing w:after="0" w:line="151" w:lineRule="exact"/>
        <w:rPr>
          <w:sz w:val="20"/>
          <w:szCs w:val="20"/>
          <w:color w:val="auto"/>
        </w:rPr>
      </w:pPr>
    </w:p>
    <w:p>
      <w:pPr>
        <w:ind w:right="200" w:firstLine="661"/>
        <w:spacing w:after="0" w:line="282"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2034. The terms of certain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require security deposits in the form of bank guarantees and letters of credit in the amount of $2.1 million.</w:t>
      </w:r>
    </w:p>
    <w:p>
      <w:pPr>
        <w:spacing w:after="0" w:line="135" w:lineRule="exact"/>
        <w:rPr>
          <w:sz w:val="20"/>
          <w:szCs w:val="20"/>
          <w:color w:val="auto"/>
        </w:rPr>
      </w:pPr>
    </w:p>
    <w:p>
      <w:pPr>
        <w:ind w:right="140" w:firstLine="661"/>
        <w:spacing w:after="0" w:line="261" w:lineRule="auto"/>
        <w:rPr>
          <w:sz w:val="20"/>
          <w:szCs w:val="20"/>
          <w:color w:val="auto"/>
        </w:rPr>
      </w:pPr>
      <w:r>
        <w:rPr>
          <w:rFonts w:ascii="Arial" w:cs="Arial" w:eastAsia="Arial" w:hAnsi="Arial"/>
          <w:sz w:val="18"/>
          <w:szCs w:val="18"/>
          <w:i w:val="1"/>
          <w:iCs w:val="1"/>
          <w:color w:val="auto"/>
        </w:rPr>
        <w:t>Purchase Commitments</w:t>
      </w:r>
      <w:r>
        <w:rPr>
          <w:rFonts w:ascii="Arial" w:cs="Arial" w:eastAsia="Arial" w:hAnsi="Arial"/>
          <w:sz w:val="18"/>
          <w:szCs w:val="18"/>
          <w:color w:val="auto"/>
        </w:rPr>
        <w:t>. At June 30, 2020, we had unrecorded commitments under contract of $109.7 million.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consisted of third-party web services of $61.7 million, inventory purchase commitments of $21.8 million, commitments for professional and consulting fees of $3.8 million, production and computer equipment purchases of approximately $0.9 million, commitments for advertising campaigns of $1.0 million, and other unrecorded purchase commitments of $20.5 million.</w:t>
      </w:r>
    </w:p>
    <w:p>
      <w:pPr>
        <w:spacing w:after="0" w:line="153" w:lineRule="exact"/>
        <w:rPr>
          <w:sz w:val="20"/>
          <w:szCs w:val="20"/>
          <w:color w:val="auto"/>
        </w:rPr>
      </w:pPr>
    </w:p>
    <w:p>
      <w:pPr>
        <w:jc w:val="both"/>
        <w:ind w:right="360" w:firstLine="661"/>
        <w:spacing w:after="0" w:line="266" w:lineRule="auto"/>
        <w:rPr>
          <w:sz w:val="20"/>
          <w:szCs w:val="20"/>
          <w:color w:val="auto"/>
        </w:rPr>
      </w:pPr>
      <w:r>
        <w:rPr>
          <w:rFonts w:ascii="Arial" w:cs="Arial" w:eastAsia="Arial" w:hAnsi="Arial"/>
          <w:sz w:val="18"/>
          <w:szCs w:val="18"/>
          <w:i w:val="1"/>
          <w:iCs w:val="1"/>
          <w:color w:val="auto"/>
        </w:rPr>
        <w:t xml:space="preserve">Senior Unsecured Notes and Interest Payments. </w:t>
      </w:r>
      <w:r>
        <w:rPr>
          <w:rFonts w:ascii="Arial" w:cs="Arial" w:eastAsia="Arial" w:hAnsi="Arial"/>
          <w:sz w:val="18"/>
          <w:szCs w:val="18"/>
          <w:color w:val="auto"/>
        </w:rPr>
        <w:t>Our 7.0% senior unsecured notes due 2026 bear interest at a rate of 7.0% per</w:t>
      </w:r>
      <w:r>
        <w:rPr>
          <w:rFonts w:ascii="Arial" w:cs="Arial" w:eastAsia="Arial" w:hAnsi="Arial"/>
          <w:sz w:val="18"/>
          <w:szCs w:val="18"/>
          <w:i w:val="1"/>
          <w:iCs w:val="1"/>
          <w:color w:val="auto"/>
        </w:rPr>
        <w:t xml:space="preserve"> </w:t>
      </w:r>
      <w:r>
        <w:rPr>
          <w:rFonts w:ascii="Arial" w:cs="Arial" w:eastAsia="Arial" w:hAnsi="Arial"/>
          <w:sz w:val="18"/>
          <w:szCs w:val="18"/>
          <w:color w:val="auto"/>
        </w:rPr>
        <w:t>annum and mature on June 15, 2026. Interest on the notes is payable semi-annually on June 15 and December 15 of each year and has been included in the table above.</w:t>
      </w:r>
    </w:p>
    <w:p>
      <w:pPr>
        <w:spacing w:after="0" w:line="149" w:lineRule="exact"/>
        <w:rPr>
          <w:sz w:val="20"/>
          <w:szCs w:val="20"/>
          <w:color w:val="auto"/>
        </w:rPr>
      </w:pPr>
    </w:p>
    <w:p>
      <w:pPr>
        <w:ind w:right="140" w:firstLine="661"/>
        <w:spacing w:after="0" w:line="261" w:lineRule="auto"/>
        <w:rPr>
          <w:sz w:val="20"/>
          <w:szCs w:val="20"/>
          <w:color w:val="auto"/>
        </w:rPr>
      </w:pPr>
      <w:r>
        <w:rPr>
          <w:rFonts w:ascii="Arial" w:cs="Arial" w:eastAsia="Arial" w:hAnsi="Arial"/>
          <w:sz w:val="18"/>
          <w:szCs w:val="18"/>
          <w:i w:val="1"/>
          <w:iCs w:val="1"/>
          <w:color w:val="auto"/>
        </w:rPr>
        <w:t xml:space="preserve">Second Lien Notes and Interest Payments. </w:t>
      </w:r>
      <w:r>
        <w:rPr>
          <w:rFonts w:ascii="Arial" w:cs="Arial" w:eastAsia="Arial" w:hAnsi="Arial"/>
          <w:sz w:val="18"/>
          <w:szCs w:val="18"/>
          <w:color w:val="auto"/>
        </w:rPr>
        <w:t>Our 12.0% senior secured notes due 2025 bear interest at a rate of 12.0%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and mature on May 15, 2025. Interest on the notes is payable semi-annually on May 15 and November 15 of each year and has been included in the table above. At our option, we may elect to pay interest on up to 50.0% of the then outstanding principal amount of the notes as paid-in-kind and applied to the outstanding principal balance of the notes.</w:t>
      </w:r>
    </w:p>
    <w:p>
      <w:pPr>
        <w:spacing w:after="0" w:line="153" w:lineRule="exact"/>
        <w:rPr>
          <w:sz w:val="20"/>
          <w:szCs w:val="20"/>
          <w:color w:val="auto"/>
        </w:rPr>
      </w:pPr>
    </w:p>
    <w:p>
      <w:pPr>
        <w:ind w:right="80" w:firstLine="661"/>
        <w:spacing w:after="0" w:line="256" w:lineRule="auto"/>
        <w:rPr>
          <w:sz w:val="20"/>
          <w:szCs w:val="20"/>
          <w:color w:val="auto"/>
        </w:rPr>
      </w:pPr>
      <w:r>
        <w:rPr>
          <w:rFonts w:ascii="Arial" w:cs="Arial" w:eastAsia="Arial" w:hAnsi="Arial"/>
          <w:sz w:val="18"/>
          <w:szCs w:val="18"/>
          <w:i w:val="1"/>
          <w:iCs w:val="1"/>
          <w:color w:val="auto"/>
        </w:rPr>
        <w:t xml:space="preserve">Other Debt and Interest Payments. </w:t>
      </w:r>
      <w:r>
        <w:rPr>
          <w:rFonts w:ascii="Arial" w:cs="Arial" w:eastAsia="Arial" w:hAnsi="Arial"/>
          <w:sz w:val="18"/>
          <w:szCs w:val="18"/>
          <w:color w:val="auto"/>
        </w:rPr>
        <w:t>At June 30, 2020, the term loans of $ 148.1 million outstanding under our credit agreement had</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due on various dates through November 15, 2024, with the revolving loans outstanding under our $422.4 million revolving credit facility due on November 15, 2024. Interest payable included in this table is based on the interest rate as of June 30, 2020, and assumes all LIBOR-based revolving loan amounts outstanding will not be paid until maturity, but that the term loan amortization payments will be made according to our defined schedule and all Prime rate based revolving loan amounts will be paid within a year. Interest payable includes the estimated impact of our interest rate swap agreements.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22" w:right="339" w:bottom="1440" w:gutter="0" w:footer="0" w:header="0"/>
        </w:sectPr>
      </w:pPr>
    </w:p>
    <w:bookmarkStart w:id="48" w:name="page49"/>
    <w:bookmarkEnd w:id="48"/>
    <w:p>
      <w:pPr>
        <w:ind w:right="340" w:firstLine="661"/>
        <w:spacing w:after="0" w:line="256" w:lineRule="auto"/>
        <w:rPr>
          <w:sz w:val="20"/>
          <w:szCs w:val="20"/>
          <w:color w:val="auto"/>
        </w:rPr>
      </w:pPr>
      <w:r>
        <w:rPr>
          <w:rFonts w:ascii="Arial" w:cs="Arial" w:eastAsia="Arial" w:hAnsi="Arial"/>
          <w:sz w:val="18"/>
          <w:szCs w:val="18"/>
          <w:color w:val="auto"/>
        </w:rPr>
        <w:t>In addition, we have other debt which consists primarily of term loans acquired through our various acquisitions or used to fund certain capital investments, and as of June 30, 2020 we had $11.7 million outstanding for those obligations that have repayments due on various dates through March 2025.</w:t>
      </w:r>
    </w:p>
    <w:p>
      <w:pPr>
        <w:spacing w:after="0" w:line="157" w:lineRule="exact"/>
        <w:rPr>
          <w:sz w:val="20"/>
          <w:szCs w:val="20"/>
          <w:color w:val="auto"/>
        </w:rPr>
      </w:pPr>
    </w:p>
    <w:p>
      <w:pPr>
        <w:ind w:right="160" w:firstLine="661"/>
        <w:spacing w:after="0" w:line="258"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lease certain machinery and plant equipment under finance lease agreements that expire at various dates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2027. The aggregate carrying value of the leased equipment under finance leases included in property, plant and equipment, net in our consolidated balance sheet at June 30, 2020, is $20.8 million, net of accumulated depreciation of $43.5 million. The present value of lease installments not yet due included in other current liabilities and other liabilities in our consolidated balance sheet at June 30, 2020 amounts to $26.7 million.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Obligations</w:t>
      </w:r>
      <w:r>
        <w:rPr>
          <w:rFonts w:ascii="Arial" w:cs="Arial" w:eastAsia="Arial" w:hAnsi="Arial"/>
          <w:sz w:val="18"/>
          <w:szCs w:val="18"/>
          <w:color w:val="auto"/>
        </w:rPr>
        <w:t>. Other obligations include deferred payments related to previous acquisitions of $2.3 million in the aggregate.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(excluding depreciation and amortization related to our Waltham, Massachusetts office lease) plus share-based compensation expense plus proceeds from insurance plus earn-out related charges plus certain impairments plus restructuring related charges plus realized gains or losses on currency derivatives less interest expense related to our Waltham, Massachusetts office lease less gain on purchase or sale of subsidiaries. We note that with the adoption of ASC 842, the Waltham, Massachusetts office lease has been reclassified from a build-to-suit lease to an operating lease, and therefore the depreciation and interest expense adjustments that were made in comparative periods will no longer be made beginning in the first fiscal quarter of 2020, as any impact from the Waltham lease will be reflected in operating income. Refer to Note 2 in our accompanying consolidated financial statements for additional details.</w:t>
      </w:r>
    </w:p>
    <w:p>
      <w:pPr>
        <w:spacing w:after="0" w:line="184"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8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Adjusted free cash flow is the primary financial metric by which we set quarterly and annual budgets both for individual businesses and Cimpress-wide. 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7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544"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only as a complement to our entire consolidated statement of cash flows.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operating income and adjusted EBITDA for the years ended June 30, 2020, 2019 and 2018: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operating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55,969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163,607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157,800</w:t>
            </w:r>
          </w:p>
        </w:tc>
        <w:tc>
          <w:tcPr>
            <w:tcW w:w="0" w:type="dxa"/>
            <w:vAlign w:val="bottom"/>
          </w:tcPr>
          <w:p>
            <w:pPr>
              <w:spacing w:after="0"/>
              <w:rPr>
                <w:sz w:val="1"/>
                <w:szCs w:val="1"/>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Exclude expense (benefit) impact of:</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167,943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172,957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169,005</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6"/>
                <w:szCs w:val="16"/>
                <w:color w:val="auto"/>
              </w:rPr>
              <w:t>Waltham, MA lease depreciation adjustment (1)</w:t>
            </w:r>
          </w:p>
        </w:tc>
        <w:tc>
          <w:tcPr>
            <w:tcW w:w="3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(4,120)</w:t>
            </w: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6"/>
                <w:szCs w:val="16"/>
                <w:color w:val="auto"/>
              </w:rPr>
              <w:t>Share-based compensation expense (2)</w:t>
            </w: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33,252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18,296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49,139</w:t>
            </w: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Earn-out related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6"/>
                <w:szCs w:val="16"/>
                <w:color w:val="auto"/>
              </w:rPr>
              <w:t>Certain impairments and other adjustments (3)</w:t>
            </w: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104,593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10,700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Restructuring-related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15,236</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6"/>
                <w:szCs w:val="16"/>
                <w:color w:val="auto"/>
              </w:rPr>
              <w:t>Interest expense for Waltham, MA lease (1)</w:t>
            </w:r>
          </w:p>
        </w:tc>
        <w:tc>
          <w:tcPr>
            <w:tcW w:w="3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(7,489)</w:t>
            </w: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purchase or sale of subsidiaries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(47,945)</w:t>
            </w:r>
          </w:p>
        </w:tc>
        <w:tc>
          <w:tcPr>
            <w:tcW w:w="0" w:type="dxa"/>
            <w:vAlign w:val="bottom"/>
          </w:tcPr>
          <w:p>
            <w:pPr>
              <w:spacing w:after="0"/>
              <w:rPr>
                <w:sz w:val="1"/>
                <w:szCs w:val="1"/>
                <w:color w:val="auto"/>
              </w:rPr>
            </w:pPr>
          </w:p>
        </w:tc>
      </w:tr>
      <w:tr>
        <w:trPr>
          <w:trHeight w:val="223"/>
        </w:trPr>
        <w:tc>
          <w:tcPr>
            <w:tcW w:w="6640" w:type="dxa"/>
            <w:vAlign w:val="bottom"/>
          </w:tcPr>
          <w:p>
            <w:pPr>
              <w:ind w:left="180"/>
              <w:spacing w:after="0"/>
              <w:rPr>
                <w:sz w:val="20"/>
                <w:szCs w:val="20"/>
                <w:color w:val="auto"/>
              </w:rPr>
            </w:pPr>
            <w:r>
              <w:rPr>
                <w:rFonts w:ascii="Arial" w:cs="Arial" w:eastAsia="Arial" w:hAnsi="Arial"/>
                <w:sz w:val="16"/>
                <w:szCs w:val="16"/>
                <w:color w:val="auto"/>
              </w:rPr>
              <w:t>Realized gains on currency derivatives not included in operating income</w:t>
            </w:r>
          </w:p>
        </w:tc>
        <w:tc>
          <w:tcPr>
            <w:tcW w:w="36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24,533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20,289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(11,445)</w:t>
            </w:r>
          </w:p>
        </w:tc>
        <w:tc>
          <w:tcPr>
            <w:tcW w:w="0" w:type="dxa"/>
            <w:vAlign w:val="bottom"/>
          </w:tcPr>
          <w:p>
            <w:pPr>
              <w:spacing w:after="0"/>
              <w:rPr>
                <w:sz w:val="1"/>
                <w:szCs w:val="1"/>
                <w:color w:val="auto"/>
              </w:rPr>
            </w:pPr>
          </w:p>
        </w:tc>
      </w:tr>
      <w:tr>
        <w:trPr>
          <w:trHeight w:val="47"/>
        </w:trPr>
        <w:tc>
          <w:tcPr>
            <w:tcW w:w="66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399,779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386,547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326,141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00" w:hanging="252"/>
        <w:spacing w:after="0" w:line="247" w:lineRule="auto"/>
        <w:tabs>
          <w:tab w:leader="none" w:pos="233" w:val="left"/>
        </w:tabs>
        <w:numPr>
          <w:ilvl w:val="0"/>
          <w:numId w:val="38"/>
        </w:numPr>
        <w:rPr>
          <w:rFonts w:ascii="Arial" w:cs="Arial" w:eastAsia="Arial" w:hAnsi="Arial"/>
          <w:sz w:val="14"/>
          <w:szCs w:val="14"/>
          <w:color w:val="auto"/>
        </w:rPr>
      </w:pPr>
      <w:r>
        <w:rPr>
          <w:rFonts w:ascii="Arial" w:cs="Arial" w:eastAsia="Arial" w:hAnsi="Arial"/>
          <w:sz w:val="14"/>
          <w:szCs w:val="14"/>
          <w:color w:val="auto"/>
        </w:rPr>
        <w:t>Upon the adoption of the new leasing standard on July 1, 2019, our Waltham, MA lease, which was previously classified as build-to-suit, is now classified as an operating lease under the new standard. Therefore, the Waltham depreciation and interest expense adjustments that were made in comparative periods are no longer adjusted beginning in the first fiscal quarter of 2020, as any impact from the Waltham lease will be reflected in operating income. Refer to Note 2 in our accompanying consolidated financial statements for additional details.</w:t>
      </w:r>
    </w:p>
    <w:p>
      <w:pPr>
        <w:spacing w:after="0" w:line="39" w:lineRule="exact"/>
        <w:rPr>
          <w:rFonts w:ascii="Arial" w:cs="Arial" w:eastAsia="Arial" w:hAnsi="Arial"/>
          <w:sz w:val="14"/>
          <w:szCs w:val="14"/>
          <w:color w:val="auto"/>
        </w:rPr>
      </w:pPr>
    </w:p>
    <w:p>
      <w:pPr>
        <w:ind w:left="260" w:right="20" w:hanging="252"/>
        <w:spacing w:after="0" w:line="258" w:lineRule="auto"/>
        <w:tabs>
          <w:tab w:leader="none" w:pos="233"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adjustment for share-based compensation expense excludes the portion of share-based compensation expense included in restructuring related charges, if any, to avoid double counting.</w:t>
      </w:r>
    </w:p>
    <w:p>
      <w:pPr>
        <w:spacing w:after="0" w:line="31" w:lineRule="exact"/>
        <w:rPr>
          <w:rFonts w:ascii="Arial" w:cs="Arial" w:eastAsia="Arial" w:hAnsi="Arial"/>
          <w:sz w:val="14"/>
          <w:szCs w:val="14"/>
          <w:color w:val="auto"/>
        </w:rPr>
      </w:pPr>
    </w:p>
    <w:p>
      <w:pPr>
        <w:ind w:left="260" w:right="120" w:hanging="252"/>
        <w:spacing w:after="0" w:line="249" w:lineRule="auto"/>
        <w:tabs>
          <w:tab w:leader="none" w:pos="233"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impact of certain impairments of goodwill and other long-lived assets as defined by ASC 350 - "Intangibles - Goodwill and Other", as well losses recognized for fair value adjustments to the disposal group associated with held for sale assets and liabilities as defined by ASC 360 - "Property, Plant, and Equipment" and reserves recognized for loans as defined by ASC 326 - "Financial Instruments - Credit Losses."</w:t>
      </w:r>
    </w:p>
    <w:p>
      <w:pPr>
        <w:spacing w:after="0" w:line="303"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table below sets forth net cash provided by operating activities and adjusted free cash flow for the years ended June 30, 2020,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Year Ended June 30,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338,444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331,095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192,332</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(50,467)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(70,563)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(60,930)</w:t>
            </w: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intangible assets not related to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6"/>
                <w:szCs w:val="16"/>
                <w:color w:val="auto"/>
              </w:rPr>
              <w:t>Capitalization of software and website development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(40,847)</w:t>
            </w: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contingent consideration in excess of acquisition date fair value (1)</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49,241</w:t>
            </w:r>
          </w:p>
        </w:tc>
        <w:tc>
          <w:tcPr>
            <w:tcW w:w="0" w:type="dxa"/>
            <w:vAlign w:val="bottom"/>
          </w:tcPr>
          <w:p>
            <w:pPr>
              <w:spacing w:after="0"/>
              <w:rPr>
                <w:sz w:val="1"/>
                <w:szCs w:val="1"/>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6"/>
                <w:szCs w:val="16"/>
                <w:color w:val="auto"/>
              </w:rPr>
              <w:t>Adjusted free cash flow</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243,985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211,816</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139,488</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0" w:hanging="252"/>
        <w:spacing w:after="0" w:line="247" w:lineRule="auto"/>
        <w:tabs>
          <w:tab w:leader="none" w:pos="233"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 portion of the earn-out payment that is presented within net cash provided by operating activities as part of the change in accrued expenses and other liabilities for the year ended June 30, 2018. This portion of the earn-out was deemed to be a compensation arrangement since it included an employment-related contingency. We add back acquisition-related contingent consideration payments because we believe they are material payments directly associated with the acquisition of a business rather than a reflection of free cash flow generation of the underlying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544" w:right="339" w:bottom="1440" w:gutter="0" w:footer="0" w:header="0"/>
        </w:sectPr>
      </w:pPr>
    </w:p>
    <w:bookmarkStart w:id="50" w:name="page51"/>
    <w:bookmarkEnd w:id="50"/>
    <w:p>
      <w:pPr>
        <w:spacing w:after="0" w:line="252" w:lineRule="auto"/>
        <w:rPr>
          <w:sz w:val="20"/>
          <w:szCs w:val="20"/>
          <w:color w:val="auto"/>
        </w:rPr>
      </w:pPr>
      <w:r>
        <w:rPr>
          <w:rFonts w:ascii="Arial" w:cs="Arial" w:eastAsia="Arial" w:hAnsi="Arial"/>
          <w:sz w:val="18"/>
          <w:szCs w:val="18"/>
          <w:color w:val="auto"/>
        </w:rPr>
        <w:t>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which we discuss further below. This section should be read in conjunction with Note 2, "Summary of Significant Accounting Policies," of our audited consolidated financial statements included elsewhere in this Report.</w:t>
      </w:r>
    </w:p>
    <w:p>
      <w:pPr>
        <w:spacing w:after="0" w:line="19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generate revenue primarily from the sale and shipment of customized manufactured products. To a much</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(and only in our Vistaprint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w:t>
      </w:r>
    </w:p>
    <w:p>
      <w:pPr>
        <w:spacing w:after="0" w:line="20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04"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205"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20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our deferred revenue balance as revenue within three months subsequent to June 30, 2020.</w:t>
      </w:r>
    </w:p>
    <w:p>
      <w:pPr>
        <w:spacing w:after="0" w:line="20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78" w:lineRule="exact"/>
        <w:rPr>
          <w:sz w:val="20"/>
          <w:szCs w:val="20"/>
          <w:color w:val="auto"/>
        </w:rPr>
      </w:pPr>
    </w:p>
    <w:p>
      <w:pPr>
        <w:jc w:val="both"/>
        <w:ind w:right="300" w:firstLine="661"/>
        <w:spacing w:after="0" w:line="256" w:lineRule="auto"/>
        <w:rPr>
          <w:sz w:val="20"/>
          <w:szCs w:val="20"/>
          <w:color w:val="auto"/>
        </w:rPr>
      </w:pPr>
      <w:r>
        <w:rPr>
          <w:rFonts w:ascii="Arial" w:cs="Arial" w:eastAsia="Arial" w:hAnsi="Arial"/>
          <w:sz w:val="18"/>
          <w:szCs w:val="18"/>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157" w:lineRule="exact"/>
        <w:rPr>
          <w:sz w:val="20"/>
          <w:szCs w:val="20"/>
          <w:color w:val="auto"/>
        </w:rPr>
      </w:pPr>
    </w:p>
    <w:p>
      <w:pPr>
        <w:ind w:right="20" w:firstLine="661"/>
        <w:spacing w:after="0" w:line="266"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measure share-based compensation costs at fair value, and recognize the expense over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recipient is required to provide service in exchange for the award, which generally is the vesting period. We recognize the impact of forfeitures as they occur.</w:t>
      </w:r>
    </w:p>
    <w:p>
      <w:pPr>
        <w:spacing w:after="0" w:line="194" w:lineRule="exact"/>
        <w:rPr>
          <w:sz w:val="20"/>
          <w:szCs w:val="20"/>
          <w:color w:val="auto"/>
        </w:rPr>
      </w:pPr>
    </w:p>
    <w:p>
      <w:pPr>
        <w:ind w:right="460" w:firstLine="648"/>
        <w:spacing w:after="0" w:line="256" w:lineRule="auto"/>
        <w:rPr>
          <w:sz w:val="20"/>
          <w:szCs w:val="20"/>
          <w:color w:val="auto"/>
        </w:rPr>
      </w:pPr>
      <w:r>
        <w:rPr>
          <w:rFonts w:ascii="Arial" w:cs="Arial" w:eastAsia="Arial" w:hAnsi="Arial"/>
          <w:sz w:val="18"/>
          <w:szCs w:val="18"/>
          <w:color w:val="auto"/>
        </w:rPr>
        <w:t>We primarily issue performance share units, or PSUs, which are estimated at fair value on the date of grant, which is fixed throughout the vesting period. The fair value is determined using a Monte Carlo simulation valuation model. As the PSUs include both a service and market condition the related expense is recognized using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55" w:right="339" w:bottom="1440" w:gutter="0" w:footer="0" w:header="0"/>
        </w:sectPr>
      </w:pPr>
    </w:p>
    <w:bookmarkStart w:id="51" w:name="page52"/>
    <w:bookmarkEnd w:id="51"/>
    <w:p>
      <w:pPr>
        <w:spacing w:after="0" w:line="254" w:lineRule="auto"/>
        <w:rPr>
          <w:sz w:val="20"/>
          <w:szCs w:val="20"/>
          <w:color w:val="auto"/>
        </w:rPr>
      </w:pPr>
      <w:r>
        <w:rPr>
          <w:rFonts w:ascii="Arial" w:cs="Arial" w:eastAsia="Arial" w:hAnsi="Arial"/>
          <w:sz w:val="18"/>
          <w:szCs w:val="18"/>
          <w:color w:val="auto"/>
        </w:rPr>
        <w:t>accelerated expense attribution method over the requisite service period for each separately vesting portion of the award. For PSUs that meet the service vesting condition, the expense recognized over the requisite service period will not be reversed if the market condition is not achieved. The compensation expense for these awards is estimated at fair value using a Monte Carlo simulation valuation model and compensation costs are recorded only if it is probable that the performance condition will be achieved.</w:t>
      </w:r>
    </w:p>
    <w:p>
      <w:pPr>
        <w:spacing w:after="0" w:line="204"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In addition to a service vesting and market condition (based on the three year moving average of the Cimpress share price) contained in our standard performance share units, we also issue awards that contain financial performance conditions. These awards with a discretionary performance condition are subject to mark-to-market accounting throughout the performance vesting period. The compensation expense for these awards is estimated at fair value using a Monte Carlo simulation valuation model and compensation costs are recorded only if it is probable that the performance condition will be achieved. We are required to reassess the probability each reporting period. If we determine the awards are not probable at some point during the performance vesting period, we would reverse any expense recognized to date.</w:t>
      </w:r>
    </w:p>
    <w:p>
      <w:pPr>
        <w:spacing w:after="0" w:line="18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As part of the process of preparing our consolidated financial statements, we calculate our income taxes in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jurisdictions in which we operate. This process involves estimating our current tax expense, including assessing the risks associated with tax positions, together with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Our estimates can vary due to the profitability mix of jurisdictions, foreign exchange movements, changes in tax law, regulations or accounting principles, as well as certain discrete items.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03" w:lineRule="exact"/>
        <w:rPr>
          <w:sz w:val="20"/>
          <w:szCs w:val="20"/>
          <w:color w:val="auto"/>
        </w:rPr>
      </w:pPr>
    </w:p>
    <w:p>
      <w:pPr>
        <w:ind w:right="220" w:firstLine="648"/>
        <w:spacing w:after="0" w:line="252" w:lineRule="auto"/>
        <w:rPr>
          <w:sz w:val="20"/>
          <w:szCs w:val="20"/>
          <w:color w:val="auto"/>
        </w:rPr>
      </w:pPr>
      <w:r>
        <w:rPr>
          <w:rFonts w:ascii="Arial" w:cs="Arial" w:eastAsia="Arial" w:hAnsi="Arial"/>
          <w:sz w:val="18"/>
          <w:szCs w:val="18"/>
          <w:color w:val="auto"/>
        </w:rPr>
        <w:t>We establish reserves for tax-related uncertainties based on estimates of whether, and the extent to which, additional taxes will be due. These reserves are established when we believe that certain positions might be challenged despite our belief that our tax return positions are in accordance with applicable tax laws. We adjust these reserves in light of changing facts and circumstances, such as the closing of a tax audit, new tax legislation, or the change of an estimate based on new information. To the extent that the final outcome of these matters is different than the amounts recorded, such differences will affect the provision for income taxes in the period in which such determination is made. Interest and, if applicable, penalties related to unrecognized tax benefits are recorded in the provision for income taxes. Stranded income tax effects in accumulated other comprehensive income or loss are released on an item-by-item basis based on when the applicable derivative is recognized in earnings.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Software and Website Development Costs</w:t>
      </w:r>
      <w:r>
        <w:rPr>
          <w:rFonts w:ascii="Arial" w:cs="Arial" w:eastAsia="Arial" w:hAnsi="Arial"/>
          <w:sz w:val="18"/>
          <w:szCs w:val="18"/>
          <w:color w:val="auto"/>
        </w:rPr>
        <w:t>. We capitalize eligible salaries and payroll-related costs of employees who devote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development of our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three years. Our judgment is required in evaluating whether a project provides new or additional functionality, determining the point at which various projects enter the stages at which costs may be capitalized, assessing the ongoing value and impairment of the capitalized costs, and determining the estimated useful lives over which the costs are amortized. Historically we have not had any significant impairments of our capitalized software and website development costs.</w:t>
      </w:r>
    </w:p>
    <w:p>
      <w:pPr>
        <w:spacing w:after="0" w:line="18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We recognize the tangible and intangible assets acquired and liabilities assumed based on their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at the date of acquisition. The fair value of identifiable intangible assets is based on detailed cash flow valuations that use information and assumptions provided by management. The valuations are dependent upon a myriad of factors including historical financial results, forecasted revenue growth rates, estimated customer renewal rates, projected operating margins, royalty rates and discount rates. We estimate the fair value of contingent consideration at the time of the acquisition using all pertinent information known to us at the time to assess the probability of payment of contingent amounts or through the use of a Monte Carlo simulation model. We allocate any excess purchase price over the fair value of the net tangible and intangible assets acquired and liabilities assumed to goodwill. The assumptions used in the valuations for our acquisitions may differ materially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355" w:right="359" w:bottom="1440" w:gutter="0" w:footer="0" w:header="0"/>
        </w:sectPr>
      </w:pPr>
    </w:p>
    <w:bookmarkStart w:id="52" w:name="page53"/>
    <w:bookmarkEnd w:id="52"/>
    <w:p>
      <w:pPr>
        <w:ind w:right="120"/>
        <w:spacing w:after="0" w:line="256" w:lineRule="auto"/>
        <w:rPr>
          <w:sz w:val="20"/>
          <w:szCs w:val="20"/>
          <w:color w:val="auto"/>
        </w:rPr>
      </w:pPr>
      <w:r>
        <w:rPr>
          <w:rFonts w:ascii="Arial" w:cs="Arial" w:eastAsia="Arial" w:hAnsi="Arial"/>
          <w:sz w:val="18"/>
          <w:szCs w:val="18"/>
          <w:color w:val="auto"/>
        </w:rPr>
        <w:t>from actual results depending on performance of the acquired businesses and other factors. While we believe the assumptions used were appropriate, different assumptions in the valuation of assets acquired and liabilities assumed could have a material impact on the timing and extent of impact on our statements of operations.</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Goodwill is assigned to reporting units as of the date of the related acquisition. If goodwill is assigned to more than one reporting unit, we utilize a method that is consistent with the manner in which the amount of goodwill in a business combination is determined. Costs related to the acquisition of a business are expensed as incurred.</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Goodwill, Indefinite-Lived Intangible Assets, and Other Definite Lived Long-Lived Assets</w:t>
      </w:r>
      <w:r>
        <w:rPr>
          <w:rFonts w:ascii="Arial" w:cs="Arial" w:eastAsia="Arial" w:hAnsi="Arial"/>
          <w:sz w:val="18"/>
          <w:szCs w:val="18"/>
          <w:color w:val="auto"/>
        </w:rPr>
        <w:t>. We evaluate goodwill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annually or more frequently when an event occurs or circumstances change that indicate that the carrying value may not be recoverable. We have the option to first assess qualitative factors to determine whether it is more likely than not that the fair value of a reporting unit is less than its carrying amount. We consider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In addition to the specific factors mentioned above, we assess the following individual factors on an ongoing basis such as:</w:t>
      </w:r>
    </w:p>
    <w:p>
      <w:pPr>
        <w:spacing w:after="0" w:line="207" w:lineRule="exact"/>
        <w:rPr>
          <w:sz w:val="20"/>
          <w:szCs w:val="20"/>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adverse change in legal factors or the business climate;</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loss of key personnel; and</w:t>
      </w:r>
    </w:p>
    <w:p>
      <w:pPr>
        <w:spacing w:after="0" w:line="225"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w:t>
      </w:r>
    </w:p>
    <w:p>
      <w:pPr>
        <w:spacing w:after="0" w:line="22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If the results of the qualitative analysis were to indicate that the fair value of a reporting unit is less than its carrying value, the quantitative test is required. Under the quantitative approach, we estimate the fair values of our reporting units using a discounted cash flow methodology and in certain circumstances a market-based approach. This analysis requires significant judgment and is based on our strategic plans and estimation of future cash flows, which is dependent on internal forecasts. Our annual analysis also requires significant judgment including the identification and aggregation of reporting units, as well as the determination of our discount rate and perpetual growth rate assumptions. We are required to compare the fair value of the reporting unit with its carrying value and recognize an impairment charge for the amount by which the carrying amount exceeds the reporting unit's fair value.</w:t>
      </w:r>
    </w:p>
    <w:p>
      <w:pPr>
        <w:spacing w:after="0" w:line="153"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During March 2020, all of our businesses experienced varying levels of decline in revenue due to the disruptions associated with the COVID-19 pandemic. Although we expect the impacts to be temporary, the negative effects of the pandemic on revenue and profitability triggered an assessment of goodwill, as we expected some of our businesses to achieve materially lower financial results than previously expected. A triggering event existed for all ten reporting units with goodwill, which required us to perform an impairment test in the third quarter of fiscal 2020. As part of our assessment, we recognized goodwill impairment charges of $100.8 million. We recognized a full goodwill impairment charge for our National Pen and VIDA reporting units, which amounted to $34.4 million and $26.0 million, respectively, as well as a partial goodwill impairment charge for our Exaprint reporting unit of $ 40.4 million. These impairment charges were due primarily to the deterioration of cash flow that we expect in the near-term for each of these businesses as a result of the decline in demand caused by the COVID-19 pandemic lock downs and related restrictions. In addition to the declines we expect in near-term cash flows, the long-term profit outlook for each of these businesses has declined when compared to previous estimates, contributing to the recognition of these impairment charges</w:t>
      </w:r>
    </w:p>
    <w:p>
      <w:pPr>
        <w:spacing w:after="0" w:line="21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required to evaluate the estimated useful lives and recoverability of definite lived long-lived assets (for example, customer relationships, developed technology, property, and equipment) on an ongoing basis when indicators of impairment are present. For purposes of the recoverability test, long-lived assets are grouped with other assets and liabilities at the lowest level for which identifiable cash flows are largely independent of the cash flows of other assets and liabilities. The test for recoverability compares the undiscounted future cash flows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55" w:right="339" w:bottom="1440" w:gutter="0" w:footer="0" w:header="0"/>
        </w:sectPr>
      </w:pPr>
    </w:p>
    <w:bookmarkStart w:id="53" w:name="page54"/>
    <w:bookmarkEnd w:id="53"/>
    <w:p>
      <w:pPr>
        <w:spacing w:after="0" w:line="252" w:lineRule="auto"/>
        <w:rPr>
          <w:sz w:val="20"/>
          <w:szCs w:val="20"/>
          <w:color w:val="auto"/>
        </w:rPr>
      </w:pPr>
      <w:r>
        <w:rPr>
          <w:rFonts w:ascii="Arial" w:cs="Arial" w:eastAsia="Arial" w:hAnsi="Arial"/>
          <w:sz w:val="18"/>
          <w:szCs w:val="18"/>
          <w:color w:val="auto"/>
        </w:rPr>
        <w:t>long-lived asset group to its carrying value. If the carrying values of the long-lived asset group exceed the undiscounted future cash flows, the assets are considered to be potentially impaired. The next step in the impairment measurement process is to determine the fair value of the individual net assets within the long-lived asset group. If the aggregate fair values of the individual net assets of the group are less than the carrying values, an impairment charge is recorded equal to the excess of the aggregate carrying value of the group over the aggregate fair value. The loss is allocated to each long-lived asset within the group based on their relative carrying values, with no asset reduced below its fair value. The identification and evaluation of a potential impairment requires judgment and is subject to change if events or circumstances pertaining to our business change. We evaluated our long-lived assets for impairment and during the year ended June 30, 2020, we recognized no impairments.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47"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See Item 8 of Part II, “Financial Statements and Supplementary Data — Note 2 — Summary of Significant Accounting Policies — Recently Issued or Adopted Accounting Pronouncements."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6" w:lineRule="exact"/>
        <w:rPr>
          <w:sz w:val="20"/>
          <w:szCs w:val="20"/>
          <w:color w:val="auto"/>
        </w:rPr>
      </w:pPr>
    </w:p>
    <w:p>
      <w:pPr>
        <w:ind w:right="320" w:firstLine="661"/>
        <w:spacing w:after="0" w:line="261" w:lineRule="auto"/>
        <w:rPr>
          <w:sz w:val="20"/>
          <w:szCs w:val="20"/>
          <w:color w:val="auto"/>
        </w:rPr>
      </w:pPr>
      <w:r>
        <w:rPr>
          <w:rFonts w:ascii="Arial" w:cs="Arial" w:eastAsia="Arial" w:hAnsi="Arial"/>
          <w:sz w:val="18"/>
          <w:szCs w:val="18"/>
          <w:color w:val="auto"/>
        </w:rPr>
        <w:t>As of June 30, 2020, our cash and cash equivalents consisted of standard depository accounts which are held for working capital purposes. We do not believe we have a material exposure to interest rate fluctuations related to our cash and cash equivalents.</w:t>
      </w:r>
    </w:p>
    <w:p>
      <w:pPr>
        <w:spacing w:after="0" w:line="171" w:lineRule="exact"/>
        <w:rPr>
          <w:sz w:val="20"/>
          <w:szCs w:val="20"/>
          <w:color w:val="auto"/>
        </w:rPr>
      </w:pPr>
    </w:p>
    <w:p>
      <w:pPr>
        <w:ind w:right="20" w:firstLine="661"/>
        <w:spacing w:after="0" w:line="253" w:lineRule="auto"/>
        <w:rPr>
          <w:sz w:val="20"/>
          <w:szCs w:val="20"/>
          <w:color w:val="auto"/>
        </w:rPr>
      </w:pPr>
      <w:r>
        <w:rPr>
          <w:rFonts w:ascii="Arial" w:cs="Arial" w:eastAsia="Arial" w:hAnsi="Arial"/>
          <w:sz w:val="18"/>
          <w:szCs w:val="18"/>
          <w:color w:val="auto"/>
        </w:rPr>
        <w:t>As of June 30, 2020, we had $570.5 million of variable-rate debt.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June 30, 2020, a hypothetical 100 basis point increase in rates, inclusive of our outstanding interest rate swaps, would result in an increase to interest expense of approximately $0.3 million over the next 12 months.</w:t>
      </w:r>
    </w:p>
    <w:p>
      <w:pPr>
        <w:spacing w:after="0" w:line="160" w:lineRule="exact"/>
        <w:rPr>
          <w:sz w:val="20"/>
          <w:szCs w:val="20"/>
          <w:color w:val="auto"/>
        </w:rPr>
      </w:pPr>
    </w:p>
    <w:p>
      <w:pPr>
        <w:ind w:right="60" w:firstLine="661"/>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6" w:lineRule="exact"/>
        <w:rPr>
          <w:sz w:val="20"/>
          <w:szCs w:val="20"/>
          <w:color w:val="auto"/>
        </w:rPr>
      </w:pPr>
    </w:p>
    <w:p>
      <w:pPr>
        <w:ind w:left="660" w:right="300" w:hanging="328"/>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spacing w:after="0" w:line="170" w:lineRule="exact"/>
        <w:rPr>
          <w:rFonts w:ascii="Arial" w:cs="Arial" w:eastAsia="Arial" w:hAnsi="Arial"/>
          <w:sz w:val="18"/>
          <w:szCs w:val="18"/>
          <w:color w:val="auto"/>
        </w:rPr>
      </w:pPr>
    </w:p>
    <w:p>
      <w:pPr>
        <w:ind w:left="660" w:right="100"/>
        <w:spacing w:after="0" w:line="254"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protect our debt covenants. Since adjusted EBITDA excludes non-cash items such as depreciation and amortization that are included in net income, we may experience increased, not decreased, volatility in our GAAP results due to our hedging approach. Our most significant net currency exposures by volume are in the Euro and British Pound.</w:t>
      </w:r>
    </w:p>
    <w:p>
      <w:pPr>
        <w:spacing w:after="0" w:line="176" w:lineRule="exact"/>
        <w:rPr>
          <w:rFonts w:ascii="Arial" w:cs="Arial" w:eastAsia="Arial" w:hAnsi="Arial"/>
          <w:sz w:val="18"/>
          <w:szCs w:val="18"/>
          <w:color w:val="auto"/>
        </w:rPr>
      </w:pPr>
    </w:p>
    <w:p>
      <w:pPr>
        <w:ind w:left="660" w:right="220"/>
        <w:spacing w:after="0" w:line="253" w:lineRule="auto"/>
        <w:rPr>
          <w:rFonts w:ascii="Arial" w:cs="Arial" w:eastAsia="Arial" w:hAnsi="Arial"/>
          <w:sz w:val="18"/>
          <w:szCs w:val="18"/>
          <w:color w:val="auto"/>
        </w:rPr>
      </w:pPr>
      <w:r>
        <w:rPr>
          <w:rFonts w:ascii="Arial" w:cs="Arial" w:eastAsia="Arial" w:hAnsi="Arial"/>
          <w:sz w:val="18"/>
          <w:szCs w:val="18"/>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55" w:right="339" w:bottom="1440" w:gutter="0" w:footer="0" w:header="0"/>
        </w:sectPr>
      </w:pPr>
    </w:p>
    <w:bookmarkStart w:id="54" w:name="page55"/>
    <w:bookmarkEnd w:id="54"/>
    <w:p>
      <w:pPr>
        <w:ind w:left="328" w:right="160" w:hanging="328"/>
        <w:spacing w:after="0" w:line="261"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7" w:lineRule="exact"/>
        <w:rPr>
          <w:rFonts w:ascii="Arial" w:cs="Arial" w:eastAsia="Arial" w:hAnsi="Arial"/>
          <w:sz w:val="18"/>
          <w:szCs w:val="18"/>
          <w:color w:val="auto"/>
        </w:rPr>
      </w:pPr>
    </w:p>
    <w:p>
      <w:pPr>
        <w:ind w:left="328" w:right="40"/>
        <w:spacing w:after="0" w:line="261" w:lineRule="auto"/>
        <w:rPr>
          <w:rFonts w:ascii="Arial" w:cs="Arial" w:eastAsia="Arial" w:hAnsi="Arial"/>
          <w:sz w:val="18"/>
          <w:szCs w:val="18"/>
          <w:color w:val="auto"/>
        </w:rPr>
      </w:pPr>
      <w:r>
        <w:rPr>
          <w:rFonts w:ascii="Arial" w:cs="Arial" w:eastAsia="Arial" w:hAnsi="Arial"/>
          <w:sz w:val="18"/>
          <w:szCs w:val="18"/>
          <w:color w:val="auto"/>
        </w:rPr>
        <w:t>We have currency exposure arising from our net investments in foreign operations. We enter into currency derivatives to mitigate the impact of currency rate changes on certain net investments.</w:t>
      </w:r>
    </w:p>
    <w:p>
      <w:pPr>
        <w:spacing w:after="0" w:line="152" w:lineRule="exact"/>
        <w:rPr>
          <w:rFonts w:ascii="Arial" w:cs="Arial" w:eastAsia="Arial" w:hAnsi="Arial"/>
          <w:sz w:val="18"/>
          <w:szCs w:val="18"/>
          <w:color w:val="auto"/>
        </w:rPr>
      </w:pPr>
    </w:p>
    <w:p>
      <w:pPr>
        <w:ind w:left="328" w:hanging="328"/>
        <w:spacing w:after="0" w:line="253" w:lineRule="auto"/>
        <w:tabs>
          <w:tab w:leader="none" w:pos="328"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 group because they are either 1) U.S. dollar loans or 2) we elect to hedge certain non-U.S. dollar loans with cross-currency swaps.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cross-currency swaps designated as cash flow hedges. A hypothetical decrease in exchange rates of 10% against the functional currency of our subsidiaries would have resulted in an increase of $15.8 million, $33.3 million and $51.1 million on our income before income taxes for the years ended June 30, 2020, 2019 and 2018, respectively.</w:t>
      </w:r>
    </w:p>
    <w:p>
      <w:pPr>
        <w:spacing w:after="0" w:line="200" w:lineRule="exact"/>
        <w:rPr>
          <w:sz w:val="20"/>
          <w:szCs w:val="20"/>
          <w:color w:val="auto"/>
        </w:rPr>
      </w:pPr>
    </w:p>
    <w:p>
      <w:pPr>
        <w:spacing w:after="0" w:line="26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88"/>
          </w:cols>
          <w:pgMar w:left="652" w:top="526" w:right="359" w:bottom="1440" w:gutter="0" w:footer="0" w:header="0"/>
        </w:sectPr>
      </w:pPr>
    </w:p>
    <w:bookmarkStart w:id="55" w:name="page56"/>
    <w:bookmarkEnd w:id="55"/>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0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0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57</w:t>
              </w:r>
            </w:hyperlink>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06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58</w:t>
              </w:r>
            </w:hyperlink>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60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59</w:t>
              </w:r>
            </w:hyperlink>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Consolidated Statements of Shareholders’ Equity</w:t>
            </w:r>
          </w:p>
        </w:tc>
        <w:tc>
          <w:tcPr>
            <w:tcW w:w="60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0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62</w:t>
              </w:r>
            </w:hyperlink>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06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64</w:t>
              </w:r>
            </w:hyperlink>
          </w:p>
        </w:tc>
      </w:tr>
      <w:tr>
        <w:trPr>
          <w:trHeight w:val="661"/>
        </w:trPr>
        <w:tc>
          <w:tcPr>
            <w:tcW w:w="5100" w:type="dxa"/>
            <w:vAlign w:val="bottom"/>
          </w:tcPr>
          <w:p>
            <w:pPr>
              <w:spacing w:after="0"/>
              <w:rPr>
                <w:sz w:val="24"/>
                <w:szCs w:val="24"/>
                <w:color w:val="auto"/>
              </w:rPr>
            </w:pPr>
          </w:p>
        </w:tc>
        <w:tc>
          <w:tcPr>
            <w:tcW w:w="6060" w:type="dxa"/>
            <w:vAlign w:val="bottom"/>
          </w:tcPr>
          <w:p>
            <w:pPr>
              <w:jc w:val="right"/>
              <w:ind w:right="539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200"/>
          </w:cols>
          <w:pgMar w:left="320" w:top="333" w:right="3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Cimpress plc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00" w:lineRule="exact"/>
        <w:rPr>
          <w:sz w:val="20"/>
          <w:szCs w:val="20"/>
          <w:color w:val="auto"/>
        </w:rPr>
      </w:pPr>
    </w:p>
    <w:p>
      <w:pPr>
        <w:spacing w:after="0" w:line="209"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Cimpress plc (formerly known as Cimpress N.V.), and its subsidiaries (the “Company”) as of June 30, 2020 and 2019, and the related consolidated statements of operations, of comprehensive income, of shareholders' equity and of cash flows for each of the three years in the period ended June 30, 2020, including the related notes (collectively referred to as the “consolidated financial statements”). We also have audited the Company's internal control over financial reporting as of June 30,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35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June 30, 2020 and 2019, and the results of its operations and its cash flows for each of the three years in the period ended June 30, 2020 in conformity with accounting principles generally accepted in the United States of America. Also in our opinion, the Company maintained, in all material respects, effective internal control over financial reporting as of June 30,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43"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leasing arrangements in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00" w:lineRule="exact"/>
        <w:rPr>
          <w:sz w:val="20"/>
          <w:szCs w:val="20"/>
          <w:color w:val="auto"/>
        </w:rPr>
      </w:pPr>
    </w:p>
    <w:p>
      <w:pPr>
        <w:spacing w:after="0" w:line="20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5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0" w:lineRule="exact"/>
        <w:rPr>
          <w:sz w:val="20"/>
          <w:szCs w:val="20"/>
          <w:color w:val="auto"/>
        </w:rPr>
      </w:pPr>
    </w:p>
    <w:p>
      <w:pPr>
        <w:spacing w:after="0" w:line="209"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33" w:right="339" w:bottom="1440" w:gutter="0" w:footer="0" w:header="0"/>
        </w:sectPr>
      </w:pPr>
    </w:p>
    <w:bookmarkStart w:id="57" w:name="page58"/>
    <w:bookmarkEnd w:id="57"/>
    <w:p>
      <w:pPr>
        <w:ind w:right="60"/>
        <w:spacing w:after="0" w:line="250" w:lineRule="auto"/>
        <w:rPr>
          <w:sz w:val="20"/>
          <w:szCs w:val="20"/>
          <w:color w:val="auto"/>
        </w:rPr>
      </w:pPr>
      <w:r>
        <w:rPr>
          <w:rFonts w:ascii="Arial" w:cs="Arial" w:eastAsia="Arial" w:hAnsi="Arial"/>
          <w:sz w:val="18"/>
          <w:szCs w:val="18"/>
          <w:color w:val="auto"/>
        </w:rPr>
        <w:t>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180" w:firstLine="8"/>
        <w:spacing w:after="0" w:line="261" w:lineRule="auto"/>
        <w:tabs>
          <w:tab w:leader="none" w:pos="2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4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0" w:lineRule="exact"/>
        <w:rPr>
          <w:sz w:val="20"/>
          <w:szCs w:val="20"/>
          <w:color w:val="auto"/>
        </w:rPr>
      </w:pPr>
    </w:p>
    <w:p>
      <w:pPr>
        <w:spacing w:after="0" w:line="20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 Quantitative Impairment Assessment - Exaprint and National Pen Reporting Units</w:t>
      </w:r>
    </w:p>
    <w:p>
      <w:pPr>
        <w:spacing w:after="0" w:line="203"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As described in Note 8 to the consolidated financial statements, the Company’s goodwill balance was $621.9 million as of June 30, 2020. During March 2020, all of the Company’s businesses experienced varying levels of decline in revenue due to the disruptions associated with the COVID-19 pandemic. Although management expects the impacts to be temporary, the negative effects of the pandemic on revenue and profitability triggered an assessment of goodwill, as management expected some of its businesses to achieve materially lower financial results than previously expected. Management’s March 31, 2020 goodwill impairment test resulted in impairment charges to the Exaprint reporting unit of $ 40.4 million, included within The Print Group reportable segment, and the National Pen reporting unit of $34.4 million. Management used the income approach, specifically the discounted cash flow method, to derive the fair value. This approach calculates fair value by estimating the after-tax cash flows attributable to a reporting unit and then discounting the after-tax cash flows to a present value using a risk-adjusted discount rate. The cash flow projections in the fair value analysis are considered Level 3 inputs, and consist of management's estimates of revenue growth rates and operating margins, taking into consideration historical results, as well as industry and market conditions. The discount rate used in the fair value analysis is based on a weighted average cost of capital, which represents the average rate a business must pay its providers of debt and equity, plus a risk premium.</w:t>
      </w:r>
    </w:p>
    <w:p>
      <w:pPr>
        <w:spacing w:after="0" w:line="170"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quantitative impairment assessments for the Exaprint and National Pen reporting units is a critical audit matter are the significant judgment by management when developing the fair value of the reporting units, which in turn led to a high degree of auditor judgment, subjectivity, and effort in performing procedures over the significant assumptions related to the revenue growth rates, operating margins, and discount rates; and the audit effort involved the use of professionals with specialized skill and knowledge.</w:t>
      </w:r>
    </w:p>
    <w:p>
      <w:pPr>
        <w:spacing w:after="0" w:line="16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significant assumptions used in the valuation of the Exaprint and National Pen reporting units. These procedures also included, among others, (i) testing management’s process for developing the fair value of the reporting units; (ii) evaluating the appropriateness of the discounted cash flow model; (iii) testing the completeness, accuracy and relevance of underlying data used in the model; and (iv) evaluating the reasonableness of management’s significant assumptions related to the revenue growth rates, operating margins, and discount rates. Evaluating the reasonableness of management’s significant assumptions related to the revenue growth rates and operating margins involved evaluating whether the assumptions used by management were reasonable considering the current and past performance of the reporting units, the consistency with external market and industry data,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544" w:right="339" w:bottom="1440" w:gutter="0" w:footer="0" w:header="0"/>
        </w:sectPr>
      </w:pPr>
    </w:p>
    <w:bookmarkStart w:id="58" w:name="page59"/>
    <w:bookmarkEnd w:id="58"/>
    <w:p>
      <w:pPr>
        <w:spacing w:after="0" w:line="261" w:lineRule="auto"/>
        <w:rPr>
          <w:sz w:val="20"/>
          <w:szCs w:val="20"/>
          <w:color w:val="auto"/>
        </w:rPr>
      </w:pPr>
      <w:r>
        <w:rPr>
          <w:rFonts w:ascii="Arial" w:cs="Arial" w:eastAsia="Arial" w:hAnsi="Arial"/>
          <w:sz w:val="18"/>
          <w:szCs w:val="18"/>
          <w:color w:val="auto"/>
        </w:rPr>
        <w:t>whether these assumptions were consistent with evidence obtained in other areas of the audit. Professionals with specialized skill and knowledge were used to assist in the evaluation of the Company's discounted cash flow model and the reasonableness of the discount rates.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530"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35,279</w:t>
            </w:r>
          </w:p>
        </w:tc>
        <w:tc>
          <w:tcPr>
            <w:tcW w:w="0" w:type="dxa"/>
            <w:vAlign w:val="bottom"/>
          </w:tcPr>
          <w:p>
            <w:pPr>
              <w:spacing w:after="0"/>
              <w:rPr>
                <w:sz w:val="1"/>
                <w:szCs w:val="1"/>
                <w:color w:val="auto"/>
              </w:rPr>
            </w:pPr>
          </w:p>
        </w:tc>
      </w:tr>
      <w:tr>
        <w:trPr>
          <w:trHeight w:val="233"/>
        </w:trPr>
        <w:tc>
          <w:tcPr>
            <w:tcW w:w="822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$9,651 and $7,313, respectively</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34,596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60,646</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80,179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66,310</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88,608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78,065</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248,404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240,300</w:t>
            </w:r>
          </w:p>
        </w:tc>
        <w:tc>
          <w:tcPr>
            <w:tcW w:w="0" w:type="dxa"/>
            <w:vAlign w:val="bottom"/>
          </w:tcPr>
          <w:p>
            <w:pPr>
              <w:spacing w:after="0"/>
              <w:rPr>
                <w:sz w:val="1"/>
                <w:szCs w:val="1"/>
                <w:color w:val="auto"/>
              </w:rPr>
            </w:pPr>
          </w:p>
        </w:tc>
      </w:tr>
      <w:tr>
        <w:trPr>
          <w:trHeight w:val="233"/>
        </w:trPr>
        <w:tc>
          <w:tcPr>
            <w:tcW w:w="8220" w:type="dxa"/>
            <w:vAlign w:val="bottom"/>
          </w:tcPr>
          <w:p>
            <w:pPr>
              <w:ind w:left="40"/>
              <w:spacing w:after="0"/>
              <w:rPr>
                <w:sz w:val="20"/>
                <w:szCs w:val="20"/>
                <w:color w:val="auto"/>
              </w:rPr>
            </w:pPr>
            <w:r>
              <w:rPr>
                <w:rFonts w:ascii="Arial" w:cs="Arial" w:eastAsia="Arial" w:hAnsi="Arial"/>
                <w:sz w:val="16"/>
                <w:szCs w:val="16"/>
                <w:color w:val="auto"/>
              </w:rPr>
              <w:t>Property, plant and equipment, net (1)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338,659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490,755</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assets, net (1)</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156,258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220" w:type="dxa"/>
            <w:vAlign w:val="bottom"/>
          </w:tcPr>
          <w:p>
            <w:pPr>
              <w:ind w:left="40"/>
              <w:spacing w:after="0"/>
              <w:rPr>
                <w:sz w:val="20"/>
                <w:szCs w:val="20"/>
                <w:color w:val="auto"/>
              </w:rPr>
            </w:pPr>
            <w:r>
              <w:rPr>
                <w:rFonts w:ascii="Arial" w:cs="Arial" w:eastAsia="Arial" w:hAnsi="Arial"/>
                <w:sz w:val="16"/>
                <w:szCs w:val="16"/>
                <w:color w:val="auto"/>
              </w:rPr>
              <w:t>Software and website development costs, net</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71,465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69,840</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143,496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59,906</w:t>
            </w:r>
          </w:p>
        </w:tc>
        <w:tc>
          <w:tcPr>
            <w:tcW w:w="0" w:type="dxa"/>
            <w:vAlign w:val="bottom"/>
          </w:tcPr>
          <w:p>
            <w:pPr>
              <w:spacing w:after="0"/>
              <w:rPr>
                <w:sz w:val="1"/>
                <w:szCs w:val="1"/>
                <w:color w:val="auto"/>
              </w:rPr>
            </w:pPr>
          </w:p>
        </w:tc>
      </w:tr>
      <w:tr>
        <w:trPr>
          <w:trHeight w:val="233"/>
        </w:trPr>
        <w:tc>
          <w:tcPr>
            <w:tcW w:w="822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621,904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718,880</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209,228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262,701</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25,592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25,994</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1,815,006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1,868,376</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noncontrolling interests and shareholders’ (deficit) equity</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163,891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185,096</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210,764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194,715</w:t>
            </w:r>
          </w:p>
        </w:tc>
        <w:tc>
          <w:tcPr>
            <w:tcW w:w="0" w:type="dxa"/>
            <w:vAlign w:val="bottom"/>
          </w:tcPr>
          <w:p>
            <w:pPr>
              <w:spacing w:after="0"/>
              <w:rPr>
                <w:sz w:val="1"/>
                <w:szCs w:val="1"/>
                <w:color w:val="auto"/>
              </w:rPr>
            </w:pPr>
          </w:p>
        </w:tc>
      </w:tr>
      <w:tr>
        <w:trPr>
          <w:trHeight w:val="233"/>
        </w:trPr>
        <w:tc>
          <w:tcPr>
            <w:tcW w:w="82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39,130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31,780</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Short-term debt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81,277</w:t>
            </w:r>
          </w:p>
        </w:tc>
        <w:tc>
          <w:tcPr>
            <w:tcW w:w="0" w:type="dxa"/>
            <w:vAlign w:val="bottom"/>
          </w:tcPr>
          <w:p>
            <w:pPr>
              <w:spacing w:after="0"/>
              <w:rPr>
                <w:sz w:val="1"/>
                <w:szCs w:val="1"/>
                <w:color w:val="auto"/>
              </w:rPr>
            </w:pPr>
          </w:p>
        </w:tc>
      </w:tr>
      <w:tr>
        <w:trPr>
          <w:trHeight w:val="233"/>
        </w:trPr>
        <w:tc>
          <w:tcPr>
            <w:tcW w:w="8220" w:type="dxa"/>
            <w:vAlign w:val="bottom"/>
          </w:tcPr>
          <w:p>
            <w:pPr>
              <w:ind w:left="280"/>
              <w:spacing w:after="0"/>
              <w:rPr>
                <w:sz w:val="20"/>
                <w:szCs w:val="20"/>
                <w:color w:val="auto"/>
              </w:rPr>
            </w:pPr>
            <w:r>
              <w:rPr>
                <w:rFonts w:ascii="Arial" w:cs="Arial" w:eastAsia="Arial" w:hAnsi="Arial"/>
                <w:sz w:val="16"/>
                <w:szCs w:val="16"/>
                <w:color w:val="auto"/>
              </w:rPr>
              <w:t>Operating lease liabilities, current (1)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41,772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13,268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27,881</w:t>
            </w:r>
          </w:p>
        </w:tc>
        <w:tc>
          <w:tcPr>
            <w:tcW w:w="0" w:type="dxa"/>
            <w:vAlign w:val="bottom"/>
          </w:tcPr>
          <w:p>
            <w:pPr>
              <w:spacing w:after="0"/>
              <w:rPr>
                <w:sz w:val="1"/>
                <w:szCs w:val="1"/>
                <w:color w:val="auto"/>
              </w:rPr>
            </w:pPr>
          </w:p>
        </w:tc>
      </w:tr>
      <w:tr>
        <w:trPr>
          <w:trHeight w:val="233"/>
        </w:trPr>
        <w:tc>
          <w:tcPr>
            <w:tcW w:w="822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486,758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520,749</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44,531</w:t>
            </w:r>
          </w:p>
        </w:tc>
        <w:tc>
          <w:tcPr>
            <w:tcW w:w="0" w:type="dxa"/>
            <w:vAlign w:val="bottom"/>
          </w:tcPr>
          <w:p>
            <w:pPr>
              <w:spacing w:after="0"/>
              <w:rPr>
                <w:sz w:val="1"/>
                <w:szCs w:val="1"/>
                <w:color w:val="auto"/>
              </w:rPr>
            </w:pPr>
          </w:p>
        </w:tc>
      </w:tr>
      <w:tr>
        <w:trPr>
          <w:trHeight w:val="260"/>
        </w:trPr>
        <w:tc>
          <w:tcPr>
            <w:tcW w:w="82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1,415,657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942,290</w:t>
            </w:r>
          </w:p>
        </w:tc>
        <w:tc>
          <w:tcPr>
            <w:tcW w:w="0" w:type="dxa"/>
            <w:vAlign w:val="bottom"/>
          </w:tcPr>
          <w:p>
            <w:pPr>
              <w:spacing w:after="0"/>
              <w:rPr>
                <w:sz w:val="1"/>
                <w:szCs w:val="1"/>
                <w:color w:val="auto"/>
              </w:rPr>
            </w:pPr>
          </w:p>
        </w:tc>
      </w:tr>
      <w:tr>
        <w:trPr>
          <w:trHeight w:val="28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financing obligation (1)</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112,096</w:t>
            </w:r>
          </w:p>
        </w:tc>
        <w:tc>
          <w:tcPr>
            <w:tcW w:w="0" w:type="dxa"/>
            <w:vAlign w:val="bottom"/>
          </w:tcPr>
          <w:p>
            <w:pPr>
              <w:spacing w:after="0"/>
              <w:rPr>
                <w:sz w:val="1"/>
                <w:szCs w:val="1"/>
                <w:color w:val="auto"/>
              </w:rPr>
            </w:pPr>
          </w:p>
        </w:tc>
      </w:tr>
      <w:tr>
        <w:trPr>
          <w:trHeight w:val="233"/>
        </w:trPr>
        <w:tc>
          <w:tcPr>
            <w:tcW w:w="8220" w:type="dxa"/>
            <w:vAlign w:val="bottom"/>
          </w:tcPr>
          <w:p>
            <w:pPr>
              <w:ind w:left="40"/>
              <w:spacing w:after="0"/>
              <w:rPr>
                <w:sz w:val="20"/>
                <w:szCs w:val="20"/>
                <w:color w:val="auto"/>
              </w:rPr>
            </w:pPr>
            <w:r>
              <w:rPr>
                <w:rFonts w:ascii="Arial" w:cs="Arial" w:eastAsia="Arial" w:hAnsi="Arial"/>
                <w:sz w:val="16"/>
                <w:szCs w:val="16"/>
                <w:color w:val="auto"/>
              </w:rPr>
              <w:t>Operating lease liabilities, non-current (1)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128,963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88,187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53,716</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2,153,376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1,673,382</w:t>
            </w: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18)</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69,106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63,182</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Shareholders’ (deficit) equity:</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8220" w:type="dxa"/>
            <w:vAlign w:val="bottom"/>
          </w:tcPr>
          <w:p>
            <w:pPr>
              <w:ind w:left="280"/>
              <w:spacing w:after="0"/>
              <w:rPr>
                <w:sz w:val="20"/>
                <w:szCs w:val="20"/>
                <w:color w:val="auto"/>
              </w:rPr>
            </w:pPr>
            <w:r>
              <w:rPr>
                <w:rFonts w:ascii="Arial" w:cs="Arial" w:eastAsia="Arial" w:hAnsi="Arial"/>
                <w:sz w:val="16"/>
                <w:szCs w:val="16"/>
                <w:color w:val="auto"/>
              </w:rPr>
              <w:t>Preferred shares, nominal value €0.01 per share, 100,000,000 shares authorized; none issued and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20" w:type="dxa"/>
            <w:vAlign w:val="bottom"/>
          </w:tcPr>
          <w:p>
            <w:pPr>
              <w:ind w:left="280"/>
              <w:spacing w:after="0"/>
              <w:rPr>
                <w:sz w:val="20"/>
                <w:szCs w:val="20"/>
                <w:color w:val="auto"/>
              </w:rPr>
            </w:pPr>
            <w:r>
              <w:rPr>
                <w:rFonts w:ascii="Arial" w:cs="Arial" w:eastAsia="Arial" w:hAnsi="Arial"/>
                <w:sz w:val="16"/>
                <w:szCs w:val="16"/>
                <w:color w:val="auto"/>
              </w:rPr>
              <w:t>outstanding</w:t>
            </w:r>
          </w:p>
        </w:tc>
        <w:tc>
          <w:tcPr>
            <w:tcW w:w="2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Ordinary shares, nominal value €0.01 per share, 100,000,000 shares authorized; 44,080,627 shares issued;</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and 25,885,675 and 30,445,669 shares outstanding, respectively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3"/>
        </w:trPr>
        <w:tc>
          <w:tcPr>
            <w:tcW w:w="8220" w:type="dxa"/>
            <w:vAlign w:val="bottom"/>
          </w:tcPr>
          <w:p>
            <w:pPr>
              <w:ind w:left="280"/>
              <w:spacing w:after="0"/>
              <w:rPr>
                <w:sz w:val="20"/>
                <w:szCs w:val="20"/>
                <w:color w:val="auto"/>
              </w:rPr>
            </w:pPr>
            <w:r>
              <w:rPr>
                <w:rFonts w:ascii="Arial" w:cs="Arial" w:eastAsia="Arial" w:hAnsi="Arial"/>
                <w:sz w:val="16"/>
                <w:szCs w:val="16"/>
                <w:color w:val="auto"/>
              </w:rPr>
              <w:t>Deferred ordinary shares, nominal value €1.00 per share, 25,000 shares authorized, issued and outstanding</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shares, at cost, 18,194,952 and 13,634,958 shares, respectively</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(1,376,496)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(737,447)</w:t>
            </w:r>
          </w:p>
        </w:tc>
        <w:tc>
          <w:tcPr>
            <w:tcW w:w="0" w:type="dxa"/>
            <w:vAlign w:val="bottom"/>
          </w:tcPr>
          <w:p>
            <w:pPr>
              <w:spacing w:after="0"/>
              <w:rPr>
                <w:sz w:val="1"/>
                <w:szCs w:val="1"/>
                <w:color w:val="auto"/>
              </w:rPr>
            </w:pPr>
          </w:p>
        </w:tc>
      </w:tr>
      <w:tr>
        <w:trPr>
          <w:trHeight w:val="233"/>
        </w:trPr>
        <w:tc>
          <w:tcPr>
            <w:tcW w:w="822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438,616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411,079</w:t>
            </w: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618,437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537,422</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(88,676)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(79,857)</w:t>
            </w:r>
          </w:p>
        </w:tc>
        <w:tc>
          <w:tcPr>
            <w:tcW w:w="0" w:type="dxa"/>
            <w:vAlign w:val="bottom"/>
          </w:tcPr>
          <w:p>
            <w:pPr>
              <w:spacing w:after="0"/>
              <w:rPr>
                <w:sz w:val="1"/>
                <w:szCs w:val="1"/>
                <w:color w:val="auto"/>
              </w:rPr>
            </w:pPr>
          </w:p>
        </w:tc>
      </w:tr>
      <w:tr>
        <w:trPr>
          <w:trHeight w:val="25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shareholders' (deficit) equity</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(407,476)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131,812</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Total liabilities, noncontrolling interests and shareholders’ (deficit)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1,815,006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1,868,376</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4"/>
                <w:szCs w:val="14"/>
                <w:color w:val="auto"/>
              </w:rPr>
              <w:t>____________________</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60" w:hanging="252"/>
        <w:spacing w:after="0" w:line="249" w:lineRule="auto"/>
        <w:tabs>
          <w:tab w:leader="none" w:pos="233" w:val="left"/>
        </w:tabs>
        <w:numPr>
          <w:ilvl w:val="0"/>
          <w:numId w:val="44"/>
        </w:numPr>
        <w:rPr>
          <w:rFonts w:ascii="Arial" w:cs="Arial" w:eastAsia="Arial" w:hAnsi="Arial"/>
          <w:sz w:val="14"/>
          <w:szCs w:val="14"/>
          <w:color w:val="auto"/>
        </w:rPr>
      </w:pPr>
      <w:r>
        <w:rPr>
          <w:rFonts w:ascii="Arial" w:cs="Arial" w:eastAsia="Arial" w:hAnsi="Arial"/>
          <w:sz w:val="14"/>
          <w:szCs w:val="14"/>
          <w:color w:val="auto"/>
        </w:rPr>
        <w:t>Due to our adoption of the new leasing standard on July 1, 2019, we recognized operating lease assets and liabilities. Additionally, all costs previously capitalized for our build-to-suit leases included in property, plant and equipment, net and lease financing obligation have been de-recognized and are now classified as operating leases. Refer to Note 2 for additional details.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333"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333" w:right="3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June 30,</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2,481,358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2,751,076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2,592,541</w:t>
            </w:r>
          </w:p>
        </w:tc>
        <w:tc>
          <w:tcPr>
            <w:tcW w:w="0" w:type="dxa"/>
            <w:vAlign w:val="bottom"/>
          </w:tcPr>
          <w:p>
            <w:pPr>
              <w:spacing w:after="0"/>
              <w:rPr>
                <w:sz w:val="1"/>
                <w:szCs w:val="1"/>
                <w:color w:val="auto"/>
              </w:rPr>
            </w:pP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2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1,248,871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1,401,344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1,279,799</w:t>
            </w:r>
          </w:p>
        </w:tc>
        <w:tc>
          <w:tcPr>
            <w:tcW w:w="0" w:type="dxa"/>
            <w:vAlign w:val="bottom"/>
          </w:tcPr>
          <w:p>
            <w:pPr>
              <w:spacing w:after="0"/>
              <w:rPr>
                <w:sz w:val="1"/>
                <w:szCs w:val="1"/>
                <w:color w:val="auto"/>
              </w:rPr>
            </w:pP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253,252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236,797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245,758</w:t>
            </w:r>
          </w:p>
        </w:tc>
        <w:tc>
          <w:tcPr>
            <w:tcW w:w="0" w:type="dxa"/>
            <w:vAlign w:val="bottom"/>
          </w:tcPr>
          <w:p>
            <w:pPr>
              <w:spacing w:after="0"/>
              <w:rPr>
                <w:sz w:val="1"/>
                <w:szCs w:val="1"/>
                <w:color w:val="auto"/>
              </w:rPr>
            </w:pP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2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574,041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713,863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714,654</w:t>
            </w:r>
          </w:p>
        </w:tc>
        <w:tc>
          <w:tcPr>
            <w:tcW w:w="0" w:type="dxa"/>
            <w:vAlign w:val="bottom"/>
          </w:tcPr>
          <w:p>
            <w:pPr>
              <w:spacing w:after="0"/>
              <w:rPr>
                <w:sz w:val="1"/>
                <w:szCs w:val="1"/>
                <w:color w:val="auto"/>
              </w:rPr>
            </w:pP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183,054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162,652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176,958</w:t>
            </w:r>
          </w:p>
        </w:tc>
        <w:tc>
          <w:tcPr>
            <w:tcW w:w="0" w:type="dxa"/>
            <w:vAlign w:val="bottom"/>
          </w:tcPr>
          <w:p>
            <w:pPr>
              <w:spacing w:after="0"/>
              <w:rPr>
                <w:sz w:val="1"/>
                <w:szCs w:val="1"/>
                <w:color w:val="auto"/>
              </w:rPr>
            </w:pP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51,786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53,256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49,881</w:t>
            </w:r>
          </w:p>
        </w:tc>
        <w:tc>
          <w:tcPr>
            <w:tcW w:w="0" w:type="dxa"/>
            <w:vAlign w:val="bottom"/>
          </w:tcPr>
          <w:p>
            <w:pPr>
              <w:spacing w:after="0"/>
              <w:rPr>
                <w:sz w:val="1"/>
                <w:szCs w:val="1"/>
                <w:color w:val="auto"/>
              </w:rPr>
            </w:pP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 (1)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12,054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15,236</w:t>
            </w:r>
          </w:p>
        </w:tc>
        <w:tc>
          <w:tcPr>
            <w:tcW w:w="0" w:type="dxa"/>
            <w:vAlign w:val="bottom"/>
          </w:tcPr>
          <w:p>
            <w:pPr>
              <w:spacing w:after="0"/>
              <w:rPr>
                <w:sz w:val="1"/>
                <w:szCs w:val="1"/>
                <w:color w:val="auto"/>
              </w:rPr>
            </w:pP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Impairment of goodwill</w:t>
            </w:r>
          </w:p>
        </w:tc>
        <w:tc>
          <w:tcPr>
            <w:tcW w:w="2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100,842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7,503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on sale of subsidiaries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(47,545)</w:t>
            </w:r>
          </w:p>
        </w:tc>
        <w:tc>
          <w:tcPr>
            <w:tcW w:w="0" w:type="dxa"/>
            <w:vAlign w:val="bottom"/>
          </w:tcPr>
          <w:p>
            <w:pPr>
              <w:spacing w:after="0"/>
              <w:rPr>
                <w:sz w:val="1"/>
                <w:szCs w:val="1"/>
                <w:color w:val="auto"/>
              </w:rPr>
            </w:pPr>
          </w:p>
        </w:tc>
      </w:tr>
      <w:tr>
        <w:trPr>
          <w:trHeight w:val="247"/>
        </w:trPr>
        <w:tc>
          <w:tcPr>
            <w:tcW w:w="73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55,969</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163,607</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157,800</w:t>
            </w:r>
          </w:p>
        </w:tc>
        <w:tc>
          <w:tcPr>
            <w:tcW w:w="0" w:type="dxa"/>
            <w:vAlign w:val="bottom"/>
          </w:tcPr>
          <w:p>
            <w:pPr>
              <w:spacing w:after="0"/>
              <w:rPr>
                <w:sz w:val="1"/>
                <w:szCs w:val="1"/>
                <w:color w:val="auto"/>
              </w:rPr>
            </w:pP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22,874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(21,032)</w:t>
            </w:r>
          </w:p>
        </w:tc>
        <w:tc>
          <w:tcPr>
            <w:tcW w:w="0" w:type="dxa"/>
            <w:vAlign w:val="bottom"/>
          </w:tcPr>
          <w:p>
            <w:pPr>
              <w:spacing w:after="0"/>
              <w:rPr>
                <w:sz w:val="1"/>
                <w:szCs w:val="1"/>
                <w:color w:val="auto"/>
              </w:rPr>
            </w:pP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(75,840)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(63,171)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(53,043)</w:t>
            </w:r>
          </w:p>
        </w:tc>
        <w:tc>
          <w:tcPr>
            <w:tcW w:w="0" w:type="dxa"/>
            <w:vAlign w:val="bottom"/>
          </w:tcPr>
          <w:p>
            <w:pPr>
              <w:spacing w:after="0"/>
              <w:rPr>
                <w:sz w:val="1"/>
                <w:szCs w:val="1"/>
                <w:color w:val="auto"/>
              </w:rPr>
            </w:pP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early extinguishment of debt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(17,359)</w:t>
            </w:r>
          </w:p>
        </w:tc>
        <w:tc>
          <w:tcPr>
            <w:tcW w:w="0" w:type="dxa"/>
            <w:vAlign w:val="bottom"/>
          </w:tcPr>
          <w:p>
            <w:pPr>
              <w:spacing w:after="0"/>
              <w:rPr>
                <w:sz w:val="1"/>
                <w:szCs w:val="1"/>
                <w:color w:val="auto"/>
              </w:rPr>
            </w:pPr>
          </w:p>
        </w:tc>
      </w:tr>
      <w:tr>
        <w:trPr>
          <w:trHeight w:val="247"/>
        </w:trPr>
        <w:tc>
          <w:tcPr>
            <w:tcW w:w="73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3,003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126,912</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66,366</w:t>
            </w:r>
          </w:p>
        </w:tc>
        <w:tc>
          <w:tcPr>
            <w:tcW w:w="0" w:type="dxa"/>
            <w:vAlign w:val="bottom"/>
          </w:tcPr>
          <w:p>
            <w:pPr>
              <w:spacing w:after="0"/>
              <w:rPr>
                <w:sz w:val="1"/>
                <w:szCs w:val="1"/>
                <w:color w:val="auto"/>
              </w:rPr>
            </w:pP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(80,992)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33,432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19,578</w:t>
            </w:r>
          </w:p>
        </w:tc>
        <w:tc>
          <w:tcPr>
            <w:tcW w:w="0" w:type="dxa"/>
            <w:vAlign w:val="bottom"/>
          </w:tcPr>
          <w:p>
            <w:pPr>
              <w:spacing w:after="0"/>
              <w:rPr>
                <w:sz w:val="1"/>
                <w:szCs w:val="1"/>
                <w:color w:val="auto"/>
              </w:rPr>
            </w:pPr>
          </w:p>
        </w:tc>
      </w:tr>
      <w:tr>
        <w:trPr>
          <w:trHeight w:val="247"/>
        </w:trPr>
        <w:tc>
          <w:tcPr>
            <w:tcW w:w="73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83,995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93,480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46,788</w:t>
            </w:r>
          </w:p>
        </w:tc>
        <w:tc>
          <w:tcPr>
            <w:tcW w:w="0" w:type="dxa"/>
            <w:vAlign w:val="bottom"/>
          </w:tcPr>
          <w:p>
            <w:pPr>
              <w:spacing w:after="0"/>
              <w:rPr>
                <w:sz w:val="1"/>
                <w:szCs w:val="1"/>
                <w:color w:val="auto"/>
              </w:rPr>
            </w:pPr>
          </w:p>
        </w:tc>
      </w:tr>
      <w:tr>
        <w:trPr>
          <w:trHeight w:val="27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Net (income) loss attributable to noncontrolling interest</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1,572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w:t>
            </w:r>
          </w:p>
        </w:tc>
        <w:tc>
          <w:tcPr>
            <w:tcW w:w="0" w:type="dxa"/>
            <w:vAlign w:val="bottom"/>
          </w:tcPr>
          <w:p>
            <w:pPr>
              <w:spacing w:after="0"/>
              <w:rPr>
                <w:sz w:val="1"/>
                <w:szCs w:val="1"/>
                <w:color w:val="auto"/>
              </w:rPr>
            </w:pPr>
          </w:p>
        </w:tc>
      </w:tr>
      <w:tr>
        <w:trPr>
          <w:trHeight w:val="280"/>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Cimpress plc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83,365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95,052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43,733</w:t>
            </w:r>
          </w:p>
        </w:tc>
        <w:tc>
          <w:tcPr>
            <w:tcW w:w="0" w:type="dxa"/>
            <w:vAlign w:val="bottom"/>
          </w:tcPr>
          <w:p>
            <w:pPr>
              <w:spacing w:after="0"/>
              <w:rPr>
                <w:sz w:val="1"/>
                <w:szCs w:val="1"/>
                <w:color w:val="auto"/>
              </w:rPr>
            </w:pPr>
          </w:p>
        </w:tc>
      </w:tr>
      <w:tr>
        <w:trPr>
          <w:trHeight w:val="22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income per share attributable to Cimpress plc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320" w:type="dxa"/>
            <w:vAlign w:val="bottom"/>
          </w:tcPr>
          <w:p>
            <w:pPr>
              <w:ind w:left="40"/>
              <w:spacing w:after="0"/>
              <w:rPr>
                <w:sz w:val="20"/>
                <w:szCs w:val="20"/>
                <w:color w:val="auto"/>
              </w:rPr>
            </w:pPr>
            <w:r>
              <w:rPr>
                <w:rFonts w:ascii="Arial" w:cs="Arial" w:eastAsia="Arial" w:hAnsi="Arial"/>
                <w:sz w:val="16"/>
                <w:szCs w:val="16"/>
                <w:color w:val="auto"/>
              </w:rPr>
              <w:t>Diluted net income per share attributable to Cimpress plc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27,180,744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30,786,349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30,948,081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20" w:type="dxa"/>
            <w:vAlign w:val="bottom"/>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27,773,286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31,662,705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32,220,401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3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7320" w:type="dxa"/>
            <w:vAlign w:val="bottom"/>
          </w:tcPr>
          <w:p>
            <w:pPr>
              <w:ind w:left="60"/>
              <w:spacing w:after="0"/>
              <w:rPr>
                <w:sz w:val="20"/>
                <w:szCs w:val="20"/>
                <w:color w:val="auto"/>
              </w:rPr>
            </w:pPr>
            <w:r>
              <w:rPr>
                <w:rFonts w:ascii="Arial" w:cs="Arial" w:eastAsia="Arial" w:hAnsi="Arial"/>
                <w:sz w:val="14"/>
                <w:szCs w:val="14"/>
                <w:color w:val="auto"/>
              </w:rPr>
              <w:t>(1) Share-based compensation is allocated as follows: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Year Ended June 30,</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2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9,003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10,580</w:t>
            </w:r>
          </w:p>
        </w:tc>
        <w:tc>
          <w:tcPr>
            <w:tcW w:w="0" w:type="dxa"/>
            <w:vAlign w:val="bottom"/>
          </w:tcPr>
          <w:p>
            <w:pPr>
              <w:spacing w:after="0"/>
              <w:rPr>
                <w:sz w:val="1"/>
                <w:szCs w:val="1"/>
                <w:color w:val="auto"/>
              </w:rPr>
            </w:pP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6,683</w:t>
            </w:r>
          </w:p>
        </w:tc>
        <w:tc>
          <w:tcPr>
            <w:tcW w:w="0" w:type="dxa"/>
            <w:vAlign w:val="bottom"/>
          </w:tcPr>
          <w:p>
            <w:pPr>
              <w:spacing w:after="0"/>
              <w:rPr>
                <w:sz w:val="1"/>
                <w:szCs w:val="1"/>
                <w:color w:val="auto"/>
              </w:rPr>
            </w:pP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21,061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12,882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31,515</w:t>
            </w:r>
          </w:p>
        </w:tc>
        <w:tc>
          <w:tcPr>
            <w:tcW w:w="0" w:type="dxa"/>
            <w:vAlign w:val="bottom"/>
          </w:tcPr>
          <w:p>
            <w:pPr>
              <w:spacing w:after="0"/>
              <w:rPr>
                <w:sz w:val="1"/>
                <w:szCs w:val="1"/>
                <w:color w:val="auto"/>
              </w:rPr>
            </w:pP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33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9"/>
        </w:trPr>
        <w:tc>
          <w:tcPr>
            <w:tcW w:w="7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7"/>
        </w:trPr>
        <w:tc>
          <w:tcPr>
            <w:tcW w:w="7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256"/>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83,995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93,480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46,788</w:t>
            </w: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gains, net of hedges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35,148</w:t>
            </w:r>
          </w:p>
        </w:tc>
      </w:tr>
      <w:tr>
        <w:trPr>
          <w:trHeight w:val="218"/>
        </w:trPr>
        <w:tc>
          <w:tcPr>
            <w:tcW w:w="7320" w:type="dxa"/>
            <w:vAlign w:val="bottom"/>
          </w:tcPr>
          <w:p>
            <w:pPr>
              <w:ind w:left="280"/>
              <w:spacing w:after="0"/>
              <w:rPr>
                <w:sz w:val="20"/>
                <w:szCs w:val="20"/>
                <w:color w:val="auto"/>
              </w:rPr>
            </w:pPr>
            <w:r>
              <w:rPr>
                <w:rFonts w:ascii="Arial" w:cs="Arial" w:eastAsia="Arial" w:hAnsi="Arial"/>
                <w:sz w:val="16"/>
                <w:szCs w:val="16"/>
                <w:color w:val="auto"/>
              </w:rPr>
              <w:t>Net unrealized (losses) gains on derivative instruments designated and qualifying as cash flow</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7320" w:type="dxa"/>
            <w:vAlign w:val="bottom"/>
          </w:tcPr>
          <w:p>
            <w:pPr>
              <w:ind w:left="280"/>
              <w:spacing w:after="0"/>
              <w:rPr>
                <w:sz w:val="20"/>
                <w:szCs w:val="20"/>
                <w:color w:val="auto"/>
              </w:rPr>
            </w:pPr>
            <w:r>
              <w:rPr>
                <w:rFonts w:ascii="Arial" w:cs="Arial" w:eastAsia="Arial" w:hAnsi="Arial"/>
                <w:sz w:val="16"/>
                <w:szCs w:val="16"/>
                <w:color w:val="auto"/>
              </w:rPr>
              <w:t>hedges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11,521</w:t>
            </w:r>
          </w:p>
        </w:tc>
      </w:tr>
      <w:tr>
        <w:trPr>
          <w:trHeight w:val="228"/>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 income on derivative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7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instruments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64"/>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(Loss) gain on pension benefit obligation, net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357</w:t>
            </w:r>
          </w:p>
        </w:tc>
      </w:tr>
      <w:tr>
        <w:trPr>
          <w:trHeight w:val="256"/>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74,937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80,466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92,854</w:t>
            </w:r>
          </w:p>
        </w:tc>
      </w:tr>
      <w:tr>
        <w:trPr>
          <w:trHeight w:val="264"/>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Add: Comprehensive (income) loss attributable to noncontrolling interests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4,537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r>
      <w:tr>
        <w:trPr>
          <w:trHeight w:val="24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 attributable to Cimpress plc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74,546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85,003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87,433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33" w:right="339" w:bottom="1440" w:gutter="0" w:footer="0" w:header="0"/>
        </w:sectPr>
      </w:pPr>
    </w:p>
    <w:bookmarkStart w:id="62" w:name="page63"/>
    <w:bookmarkEnd w:id="62"/>
    <w:p>
      <w:pPr>
        <w:ind w:left="4940"/>
        <w:spacing w:after="0"/>
        <w:rPr>
          <w:sz w:val="20"/>
          <w:szCs w:val="20"/>
          <w:color w:val="auto"/>
        </w:rPr>
      </w:pPr>
      <w:r>
        <w:rPr>
          <w:rFonts w:ascii="Arial" w:cs="Arial" w:eastAsia="Arial" w:hAnsi="Arial"/>
          <w:sz w:val="18"/>
          <w:szCs w:val="18"/>
          <w:b w:val="1"/>
          <w:bCs w:val="1"/>
          <w:color w:val="auto"/>
        </w:rPr>
        <w:t>CIMPRESS PLC</w:t>
      </w:r>
    </w:p>
    <w:p>
      <w:pPr>
        <w:spacing w:after="0" w:line="6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40" w:type="dxa"/>
            <w:vAlign w:val="bottom"/>
          </w:tcPr>
          <w:p>
            <w:pPr>
              <w:spacing w:after="0"/>
              <w:rPr>
                <w:sz w:val="14"/>
                <w:szCs w:val="14"/>
                <w:color w:val="auto"/>
              </w:rPr>
            </w:pPr>
          </w:p>
        </w:tc>
        <w:tc>
          <w:tcPr>
            <w:tcW w:w="1860" w:type="dxa"/>
            <w:vAlign w:val="bottom"/>
            <w:gridSpan w:val="5"/>
          </w:tcPr>
          <w:p>
            <w:pPr>
              <w:ind w:left="420"/>
              <w:spacing w:after="0"/>
              <w:rPr>
                <w:sz w:val="20"/>
                <w:szCs w:val="20"/>
                <w:color w:val="auto"/>
              </w:rPr>
            </w:pPr>
            <w:r>
              <w:rPr>
                <w:rFonts w:ascii="Arial" w:cs="Arial" w:eastAsia="Arial" w:hAnsi="Arial"/>
                <w:sz w:val="12"/>
                <w:szCs w:val="12"/>
                <w:b w:val="1"/>
                <w:bCs w:val="1"/>
                <w:color w:val="auto"/>
              </w:rPr>
              <w:t>Ordinary Shares</w:t>
            </w:r>
          </w:p>
        </w:tc>
        <w:tc>
          <w:tcPr>
            <w:tcW w:w="204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7"/>
              </w:rPr>
              <w:t>Treasury 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0"/>
        </w:trPr>
        <w:tc>
          <w:tcPr>
            <w:tcW w:w="2940" w:type="dxa"/>
            <w:vAlign w:val="bottom"/>
          </w:tcPr>
          <w:p>
            <w:pPr>
              <w:spacing w:after="0"/>
              <w:rPr>
                <w:sz w:val="13"/>
                <w:szCs w:val="13"/>
                <w:color w:val="auto"/>
              </w:rPr>
            </w:pPr>
          </w:p>
        </w:tc>
        <w:tc>
          <w:tcPr>
            <w:tcW w:w="10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96"/>
              </w:rPr>
              <w:t>Number of</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96"/>
              </w:rPr>
              <w:t>Number</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7"/>
              </w:rPr>
              <w:t>Accumulated Other</w:t>
            </w:r>
          </w:p>
        </w:tc>
        <w:tc>
          <w:tcPr>
            <w:tcW w:w="120" w:type="dxa"/>
            <w:vAlign w:val="bottom"/>
          </w:tcPr>
          <w:p>
            <w:pPr>
              <w:spacing w:after="0"/>
              <w:rPr>
                <w:sz w:val="13"/>
                <w:szCs w:val="13"/>
                <w:color w:val="auto"/>
              </w:rPr>
            </w:pPr>
          </w:p>
        </w:tc>
        <w:tc>
          <w:tcPr>
            <w:tcW w:w="980" w:type="dxa"/>
            <w:vAlign w:val="bottom"/>
          </w:tcPr>
          <w:p>
            <w:pPr>
              <w:jc w:val="center"/>
              <w:ind w:right="49"/>
              <w:spacing w:after="0"/>
              <w:rPr>
                <w:sz w:val="20"/>
                <w:szCs w:val="20"/>
                <w:color w:val="auto"/>
              </w:rPr>
            </w:pPr>
            <w:r>
              <w:rPr>
                <w:rFonts w:ascii="Arial" w:cs="Arial" w:eastAsia="Arial" w:hAnsi="Arial"/>
                <w:sz w:val="12"/>
                <w:szCs w:val="12"/>
                <w:b w:val="1"/>
                <w:bCs w:val="1"/>
                <w:color w:val="auto"/>
                <w:w w:val="90"/>
              </w:rPr>
              <w:t>Total</w:t>
            </w:r>
          </w:p>
        </w:tc>
      </w:tr>
      <w:tr>
        <w:trPr>
          <w:trHeight w:val="135"/>
        </w:trPr>
        <w:tc>
          <w:tcPr>
            <w:tcW w:w="294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Arial" w:cs="Arial" w:eastAsia="Arial" w:hAnsi="Arial"/>
                <w:sz w:val="12"/>
                <w:szCs w:val="12"/>
                <w:b w:val="1"/>
                <w:bCs w:val="1"/>
                <w:color w:val="auto"/>
                <w:w w:val="97"/>
              </w:rPr>
              <w:t>Shareholders’</w:t>
            </w:r>
          </w:p>
        </w:tc>
      </w:tr>
      <w:tr>
        <w:trPr>
          <w:trHeight w:val="167"/>
        </w:trPr>
        <w:tc>
          <w:tcPr>
            <w:tcW w:w="29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Issued</w:t>
            </w:r>
          </w:p>
        </w:tc>
        <w:tc>
          <w:tcPr>
            <w:tcW w:w="1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Shares</w:t>
            </w:r>
          </w:p>
        </w:tc>
        <w:tc>
          <w:tcPr>
            <w:tcW w:w="20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14"/>
                <w:szCs w:val="14"/>
                <w:color w:val="auto"/>
              </w:rPr>
            </w:pPr>
          </w:p>
        </w:tc>
        <w:tc>
          <w:tcPr>
            <w:tcW w:w="980" w:type="dxa"/>
            <w:vAlign w:val="bottom"/>
          </w:tcPr>
          <w:p>
            <w:pPr>
              <w:jc w:val="center"/>
              <w:ind w:right="69"/>
              <w:spacing w:after="0"/>
              <w:rPr>
                <w:sz w:val="20"/>
                <w:szCs w:val="20"/>
                <w:color w:val="auto"/>
              </w:rPr>
            </w:pPr>
            <w:r>
              <w:rPr>
                <w:rFonts w:ascii="Arial" w:cs="Arial" w:eastAsia="Arial" w:hAnsi="Arial"/>
                <w:sz w:val="12"/>
                <w:szCs w:val="12"/>
                <w:b w:val="1"/>
                <w:bCs w:val="1"/>
                <w:color w:val="auto"/>
                <w:w w:val="98"/>
              </w:rPr>
              <w:t>Equity</w:t>
            </w:r>
          </w:p>
        </w:tc>
      </w:tr>
      <w:tr>
        <w:trPr>
          <w:trHeight w:val="256"/>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2017</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(12,665)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(588,365)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361,376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414,771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74,999</w:t>
            </w:r>
          </w:p>
        </w:tc>
      </w:tr>
      <w:tr>
        <w:trPr>
          <w:trHeight w:val="194"/>
        </w:trPr>
        <w:tc>
          <w:tcPr>
            <w:tcW w:w="2940" w:type="dxa"/>
            <w:vAlign w:val="bottom"/>
          </w:tcPr>
          <w:p>
            <w:pPr>
              <w:ind w:left="40"/>
              <w:spacing w:after="0"/>
              <w:rPr>
                <w:sz w:val="20"/>
                <w:szCs w:val="20"/>
                <w:color w:val="auto"/>
              </w:rPr>
            </w:pPr>
            <w:r>
              <w:rPr>
                <w:rFonts w:ascii="Arial" w:cs="Arial" w:eastAsia="Arial" w:hAnsi="Arial"/>
                <w:sz w:val="14"/>
                <w:szCs w:val="14"/>
                <w:color w:val="auto"/>
              </w:rPr>
              <w:t>Issuance of ordinary shares due to share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option exercises, net of shares withheld for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940" w:type="dxa"/>
            <w:vAlign w:val="bottom"/>
          </w:tcPr>
          <w:p>
            <w:pPr>
              <w:ind w:left="40"/>
              <w:spacing w:after="0"/>
              <w:rPr>
                <w:sz w:val="20"/>
                <w:szCs w:val="20"/>
                <w:color w:val="auto"/>
              </w:rPr>
            </w:pPr>
            <w:r>
              <w:rPr>
                <w:rFonts w:ascii="Arial" w:cs="Arial" w:eastAsia="Arial" w:hAnsi="Arial"/>
                <w:sz w:val="14"/>
                <w:szCs w:val="14"/>
                <w:color w:val="auto"/>
              </w:rPr>
              <w:t>taxes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(8,173)</w:t>
            </w:r>
          </w:p>
        </w:tc>
      </w:tr>
      <w:tr>
        <w:trPr>
          <w:trHeight w:val="200"/>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 units vested, net of shares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withheld for taxes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w:t>
            </w: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Grant of restricted share awards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44,089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44,089</w:t>
            </w: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Purchase of ordinary shares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(94,710)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(94,710)</w:t>
            </w: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Cimpress plc</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43,733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43,733</w:t>
            </w: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Adoption of new accounting standard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(5,864)</w:t>
            </w:r>
          </w:p>
        </w:tc>
      </w:tr>
      <w:tr>
        <w:trPr>
          <w:trHeight w:val="200"/>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accumulated</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to retained</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94"/>
        </w:trPr>
        <w:tc>
          <w:tcPr>
            <w:tcW w:w="2940" w:type="dxa"/>
            <w:vAlign w:val="bottom"/>
          </w:tcPr>
          <w:p>
            <w:pPr>
              <w:ind w:left="40"/>
              <w:spacing w:after="0"/>
              <w:rPr>
                <w:sz w:val="20"/>
                <w:szCs w:val="20"/>
                <w:color w:val="auto"/>
              </w:rPr>
            </w:pPr>
            <w:r>
              <w:rPr>
                <w:rFonts w:ascii="Arial" w:cs="Arial" w:eastAsia="Arial" w:hAnsi="Arial"/>
                <w:sz w:val="14"/>
                <w:szCs w:val="14"/>
                <w:color w:val="auto"/>
              </w:rPr>
              <w:t>Net unrealized gain on derivative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instruments designated and qualifying as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94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10,561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10,561</w:t>
            </w: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net of hedges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32,782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32,782</w:t>
            </w:r>
          </w:p>
        </w:tc>
      </w:tr>
      <w:tr>
        <w:trPr>
          <w:trHeight w:val="194"/>
        </w:trPr>
        <w:tc>
          <w:tcPr>
            <w:tcW w:w="2940" w:type="dxa"/>
            <w:vAlign w:val="bottom"/>
          </w:tcPr>
          <w:p>
            <w:pPr>
              <w:ind w:left="40"/>
              <w:spacing w:after="0"/>
              <w:rPr>
                <w:sz w:val="20"/>
                <w:szCs w:val="20"/>
                <w:color w:val="auto"/>
              </w:rPr>
            </w:pPr>
            <w:r>
              <w:rPr>
                <w:rFonts w:ascii="Arial" w:cs="Arial" w:eastAsia="Arial" w:hAnsi="Arial"/>
                <w:sz w:val="14"/>
                <w:szCs w:val="14"/>
                <w:color w:val="auto"/>
              </w:rPr>
              <w:t>Unrealized gain on pension benefit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940" w:type="dxa"/>
            <w:vAlign w:val="bottom"/>
          </w:tcPr>
          <w:p>
            <w:pPr>
              <w:ind w:left="40"/>
              <w:spacing w:after="0"/>
              <w:rPr>
                <w:sz w:val="20"/>
                <w:szCs w:val="20"/>
                <w:color w:val="auto"/>
              </w:rPr>
            </w:pPr>
            <w:r>
              <w:rPr>
                <w:rFonts w:ascii="Arial" w:cs="Arial" w:eastAsia="Arial" w:hAnsi="Arial"/>
                <w:sz w:val="14"/>
                <w:szCs w:val="14"/>
                <w:color w:val="auto"/>
              </w:rPr>
              <w:t>obligation, net of tax</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357</w:t>
            </w:r>
          </w:p>
        </w:tc>
      </w:tr>
      <w:tr>
        <w:trPr>
          <w:trHeight w:val="256"/>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2018</w:t>
            </w: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(13,206)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(685,577)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395,682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452,756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93,662</w:t>
            </w:r>
          </w:p>
        </w:tc>
      </w:tr>
      <w:tr>
        <w:trPr>
          <w:trHeight w:val="174"/>
        </w:trPr>
        <w:tc>
          <w:tcPr>
            <w:tcW w:w="2940" w:type="dxa"/>
            <w:vAlign w:val="bottom"/>
          </w:tcPr>
          <w:p>
            <w:pPr>
              <w:ind w:left="40"/>
              <w:spacing w:after="0"/>
              <w:rPr>
                <w:sz w:val="20"/>
                <w:szCs w:val="20"/>
                <w:color w:val="auto"/>
              </w:rPr>
            </w:pPr>
            <w:r>
              <w:rPr>
                <w:rFonts w:ascii="Arial" w:cs="Arial" w:eastAsia="Arial" w:hAnsi="Arial"/>
                <w:sz w:val="14"/>
                <w:szCs w:val="14"/>
                <w:color w:val="auto"/>
              </w:rPr>
              <w:t>Issuance of ordinary shares due to share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option exercises, net of shares withheld for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940" w:type="dxa"/>
            <w:vAlign w:val="bottom"/>
          </w:tcPr>
          <w:p>
            <w:pPr>
              <w:ind w:left="40"/>
              <w:spacing w:after="0"/>
              <w:rPr>
                <w:sz w:val="20"/>
                <w:szCs w:val="20"/>
                <w:color w:val="auto"/>
              </w:rPr>
            </w:pPr>
            <w:r>
              <w:rPr>
                <w:rFonts w:ascii="Arial" w:cs="Arial" w:eastAsia="Arial" w:hAnsi="Arial"/>
                <w:sz w:val="14"/>
                <w:szCs w:val="14"/>
                <w:color w:val="auto"/>
              </w:rPr>
              <w:t>taxes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0"/>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 units vested, net of shares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withheld for taxes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Grant of restricted share awards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24</w:t>
            </w: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18,064</w:t>
            </w: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Purchase of ordinary shares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(55,567)</w:t>
            </w: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Cimpress plc</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95,052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95,052</w:t>
            </w:r>
          </w:p>
        </w:tc>
      </w:tr>
      <w:tr>
        <w:trPr>
          <w:trHeight w:val="194"/>
        </w:trPr>
        <w:tc>
          <w:tcPr>
            <w:tcW w:w="2940" w:type="dxa"/>
            <w:vAlign w:val="bottom"/>
          </w:tcPr>
          <w:p>
            <w:pPr>
              <w:ind w:left="40"/>
              <w:spacing w:after="0"/>
              <w:rPr>
                <w:sz w:val="20"/>
                <w:szCs w:val="20"/>
                <w:color w:val="auto"/>
              </w:rPr>
            </w:pPr>
            <w:r>
              <w:rPr>
                <w:rFonts w:ascii="Arial" w:cs="Arial" w:eastAsia="Arial" w:hAnsi="Arial"/>
                <w:sz w:val="14"/>
                <w:szCs w:val="14"/>
                <w:color w:val="auto"/>
              </w:rPr>
              <w:t>Adjustment for purchase of noncontrolling</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940" w:type="dxa"/>
            <w:vAlign w:val="bottom"/>
          </w:tcPr>
          <w:p>
            <w:pPr>
              <w:ind w:left="40"/>
              <w:spacing w:after="0"/>
              <w:rPr>
                <w:sz w:val="20"/>
                <w:szCs w:val="20"/>
                <w:color w:val="auto"/>
              </w:rPr>
            </w:pPr>
            <w:r>
              <w:rPr>
                <w:rFonts w:ascii="Arial" w:cs="Arial" w:eastAsia="Arial" w:hAnsi="Arial"/>
                <w:sz w:val="14"/>
                <w:szCs w:val="14"/>
                <w:color w:val="auto"/>
              </w:rPr>
              <w:t>interest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2,714</w:t>
            </w:r>
          </w:p>
        </w:tc>
      </w:tr>
      <w:tr>
        <w:trPr>
          <w:trHeight w:val="200"/>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noncontrolling interest for</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forfeiture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591</w:t>
            </w: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Adoption of new accounting standard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(3,246)</w:t>
            </w:r>
          </w:p>
        </w:tc>
      </w:tr>
      <w:tr>
        <w:trPr>
          <w:trHeight w:val="200"/>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 accretion to</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r>
      <w:tr>
        <w:trPr>
          <w:trHeight w:val="194"/>
        </w:trPr>
        <w:tc>
          <w:tcPr>
            <w:tcW w:w="2940" w:type="dxa"/>
            <w:vAlign w:val="bottom"/>
          </w:tcPr>
          <w:p>
            <w:pPr>
              <w:ind w:left="40"/>
              <w:spacing w:after="0"/>
              <w:rPr>
                <w:sz w:val="20"/>
                <w:szCs w:val="20"/>
                <w:color w:val="auto"/>
              </w:rPr>
            </w:pPr>
            <w:r>
              <w:rPr>
                <w:rFonts w:ascii="Arial" w:cs="Arial" w:eastAsia="Arial" w:hAnsi="Arial"/>
                <w:sz w:val="14"/>
                <w:szCs w:val="14"/>
                <w:color w:val="auto"/>
              </w:rPr>
              <w:t>Net unrealized loss on derivative instruments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2940" w:type="dxa"/>
            <w:vAlign w:val="bottom"/>
          </w:tcPr>
          <w:p>
            <w:pPr>
              <w:ind w:left="40"/>
              <w:spacing w:after="0"/>
              <w:rPr>
                <w:sz w:val="20"/>
                <w:szCs w:val="20"/>
                <w:color w:val="auto"/>
              </w:rPr>
            </w:pPr>
            <w:r>
              <w:rPr>
                <w:rFonts w:ascii="Arial" w:cs="Arial" w:eastAsia="Arial" w:hAnsi="Arial"/>
                <w:sz w:val="14"/>
                <w:szCs w:val="14"/>
                <w:color w:val="auto"/>
              </w:rPr>
              <w:t>designated and qualifying as cash flow</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2940" w:type="dxa"/>
            <w:vAlign w:val="bottom"/>
          </w:tcPr>
          <w:p>
            <w:pPr>
              <w:ind w:left="40"/>
              <w:spacing w:after="0"/>
              <w:rPr>
                <w:sz w:val="20"/>
                <w:szCs w:val="20"/>
                <w:color w:val="auto"/>
              </w:rPr>
            </w:pPr>
            <w:r>
              <w:rPr>
                <w:rFonts w:ascii="Arial" w:cs="Arial" w:eastAsia="Arial" w:hAnsi="Arial"/>
                <w:sz w:val="14"/>
                <w:szCs w:val="14"/>
                <w:color w:val="auto"/>
              </w:rPr>
              <w:t>hedges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(19,477)</w:t>
            </w: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net of hedges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9,638</w:t>
            </w:r>
          </w:p>
        </w:tc>
      </w:tr>
      <w:tr>
        <w:trPr>
          <w:trHeight w:val="194"/>
        </w:trPr>
        <w:tc>
          <w:tcPr>
            <w:tcW w:w="2940" w:type="dxa"/>
            <w:vAlign w:val="bottom"/>
          </w:tcPr>
          <w:p>
            <w:pPr>
              <w:ind w:left="40"/>
              <w:spacing w:after="0"/>
              <w:rPr>
                <w:sz w:val="20"/>
                <w:szCs w:val="20"/>
                <w:color w:val="auto"/>
              </w:rPr>
            </w:pPr>
            <w:r>
              <w:rPr>
                <w:rFonts w:ascii="Arial" w:cs="Arial" w:eastAsia="Arial" w:hAnsi="Arial"/>
                <w:sz w:val="14"/>
                <w:szCs w:val="14"/>
                <w:color w:val="auto"/>
              </w:rPr>
              <w:t>Unrealized loss on pension benefit</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2940" w:type="dxa"/>
            <w:vAlign w:val="bottom"/>
          </w:tcPr>
          <w:p>
            <w:pPr>
              <w:ind w:left="40"/>
              <w:spacing w:after="0"/>
              <w:rPr>
                <w:sz w:val="20"/>
                <w:szCs w:val="20"/>
                <w:color w:val="auto"/>
              </w:rPr>
            </w:pPr>
            <w:r>
              <w:rPr>
                <w:rFonts w:ascii="Arial" w:cs="Arial" w:eastAsia="Arial" w:hAnsi="Arial"/>
                <w:sz w:val="14"/>
                <w:szCs w:val="14"/>
                <w:color w:val="auto"/>
              </w:rPr>
              <w:t>obligation, net of tax</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250"/>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 30, 2019</w:t>
            </w: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44,080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615</w:t>
            </w: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(13,635)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(737,447)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411,079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537,422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(79,857)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131,812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603" w:right="339" w:bottom="1440" w:gutter="0" w:footer="0" w:header="0"/>
        </w:sectPr>
      </w:pPr>
    </w:p>
    <w:bookmarkStart w:id="63" w:name="page64"/>
    <w:bookmarkEnd w:id="63"/>
    <w:p>
      <w:pPr>
        <w:ind w:left="4940"/>
        <w:spacing w:after="0"/>
        <w:rPr>
          <w:sz w:val="20"/>
          <w:szCs w:val="20"/>
          <w:color w:val="auto"/>
        </w:rPr>
      </w:pPr>
      <w:r>
        <w:rPr>
          <w:rFonts w:ascii="Arial" w:cs="Arial" w:eastAsia="Arial" w:hAnsi="Arial"/>
          <w:sz w:val="18"/>
          <w:szCs w:val="18"/>
          <w:b w:val="1"/>
          <w:bCs w:val="1"/>
          <w:color w:val="auto"/>
        </w:rPr>
        <w:t>CIMPRESS PLC</w:t>
      </w:r>
    </w:p>
    <w:p>
      <w:pPr>
        <w:spacing w:after="0" w:line="6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40" w:type="dxa"/>
            <w:vAlign w:val="bottom"/>
          </w:tcPr>
          <w:p>
            <w:pPr>
              <w:spacing w:after="0"/>
              <w:rPr>
                <w:sz w:val="14"/>
                <w:szCs w:val="14"/>
                <w:color w:val="auto"/>
              </w:rPr>
            </w:pPr>
          </w:p>
        </w:tc>
        <w:tc>
          <w:tcPr>
            <w:tcW w:w="1640" w:type="dxa"/>
            <w:vAlign w:val="bottom"/>
            <w:gridSpan w:val="5"/>
          </w:tcPr>
          <w:p>
            <w:pPr>
              <w:ind w:left="320"/>
              <w:spacing w:after="0"/>
              <w:rPr>
                <w:sz w:val="20"/>
                <w:szCs w:val="20"/>
                <w:color w:val="auto"/>
              </w:rPr>
            </w:pPr>
            <w:r>
              <w:rPr>
                <w:rFonts w:ascii="Arial" w:cs="Arial" w:eastAsia="Arial" w:hAnsi="Arial"/>
                <w:sz w:val="12"/>
                <w:szCs w:val="12"/>
                <w:b w:val="1"/>
                <w:bCs w:val="1"/>
                <w:color w:val="auto"/>
              </w:rPr>
              <w:t>Ordinary Shares</w:t>
            </w:r>
          </w:p>
        </w:tc>
        <w:tc>
          <w:tcPr>
            <w:tcW w:w="1740" w:type="dxa"/>
            <w:vAlign w:val="bottom"/>
            <w:gridSpan w:val="5"/>
          </w:tcPr>
          <w:p>
            <w:pPr>
              <w:ind w:left="120"/>
              <w:spacing w:after="0"/>
              <w:rPr>
                <w:sz w:val="20"/>
                <w:szCs w:val="20"/>
                <w:color w:val="auto"/>
              </w:rPr>
            </w:pPr>
            <w:r>
              <w:rPr>
                <w:rFonts w:ascii="Arial" w:cs="Arial" w:eastAsia="Arial" w:hAnsi="Arial"/>
                <w:sz w:val="12"/>
                <w:szCs w:val="12"/>
                <w:b w:val="1"/>
                <w:bCs w:val="1"/>
                <w:color w:val="auto"/>
              </w:rPr>
              <w:t>Deferred Ordinary Shares</w:t>
            </w:r>
          </w:p>
        </w:tc>
        <w:tc>
          <w:tcPr>
            <w:tcW w:w="22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5"/>
              </w:rPr>
              <w:t>Treasury 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0"/>
        </w:trPr>
        <w:tc>
          <w:tcPr>
            <w:tcW w:w="1240" w:type="dxa"/>
            <w:vAlign w:val="bottom"/>
          </w:tcPr>
          <w:p>
            <w:pPr>
              <w:spacing w:after="0"/>
              <w:rPr>
                <w:sz w:val="13"/>
                <w:szCs w:val="13"/>
                <w:color w:val="auto"/>
              </w:rPr>
            </w:pPr>
          </w:p>
        </w:tc>
        <w:tc>
          <w:tcPr>
            <w:tcW w:w="8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96"/>
              </w:rPr>
              <w:t>Number of</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99"/>
              </w:rPr>
              <w:t>Number of</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7"/>
              </w:rPr>
              <w:t>Accumulated Other</w:t>
            </w:r>
          </w:p>
        </w:tc>
        <w:tc>
          <w:tcPr>
            <w:tcW w:w="120" w:type="dxa"/>
            <w:vAlign w:val="bottom"/>
          </w:tcPr>
          <w:p>
            <w:pPr>
              <w:spacing w:after="0"/>
              <w:rPr>
                <w:sz w:val="13"/>
                <w:szCs w:val="13"/>
                <w:color w:val="auto"/>
              </w:rPr>
            </w:pPr>
          </w:p>
        </w:tc>
        <w:tc>
          <w:tcPr>
            <w:tcW w:w="980" w:type="dxa"/>
            <w:vAlign w:val="bottom"/>
          </w:tcPr>
          <w:p>
            <w:pPr>
              <w:jc w:val="center"/>
              <w:ind w:right="50"/>
              <w:spacing w:after="0"/>
              <w:rPr>
                <w:sz w:val="20"/>
                <w:szCs w:val="20"/>
                <w:color w:val="auto"/>
              </w:rPr>
            </w:pPr>
            <w:r>
              <w:rPr>
                <w:rFonts w:ascii="Arial" w:cs="Arial" w:eastAsia="Arial" w:hAnsi="Arial"/>
                <w:sz w:val="12"/>
                <w:szCs w:val="12"/>
                <w:b w:val="1"/>
                <w:bCs w:val="1"/>
                <w:color w:val="auto"/>
                <w:w w:val="90"/>
              </w:rPr>
              <w:t>Total</w:t>
            </w:r>
          </w:p>
        </w:tc>
      </w:tr>
      <w:tr>
        <w:trPr>
          <w:trHeight w:val="135"/>
        </w:trPr>
        <w:tc>
          <w:tcPr>
            <w:tcW w:w="124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7"/>
              </w:rPr>
              <w:t>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120" w:type="dxa"/>
            <w:vAlign w:val="bottom"/>
          </w:tcPr>
          <w:p>
            <w:pPr>
              <w:spacing w:after="0"/>
              <w:rPr>
                <w:sz w:val="11"/>
                <w:szCs w:val="11"/>
                <w:color w:val="auto"/>
              </w:rPr>
            </w:pPr>
          </w:p>
        </w:tc>
        <w:tc>
          <w:tcPr>
            <w:tcW w:w="980" w:type="dxa"/>
            <w:vAlign w:val="bottom"/>
          </w:tcPr>
          <w:p>
            <w:pPr>
              <w:jc w:val="center"/>
              <w:ind w:right="50"/>
              <w:spacing w:after="0" w:line="135" w:lineRule="exact"/>
              <w:rPr>
                <w:sz w:val="20"/>
                <w:szCs w:val="20"/>
                <w:color w:val="auto"/>
              </w:rPr>
            </w:pPr>
            <w:r>
              <w:rPr>
                <w:rFonts w:ascii="Arial" w:cs="Arial" w:eastAsia="Arial" w:hAnsi="Arial"/>
                <w:sz w:val="12"/>
                <w:szCs w:val="12"/>
                <w:b w:val="1"/>
                <w:bCs w:val="1"/>
                <w:color w:val="auto"/>
                <w:w w:val="97"/>
              </w:rPr>
              <w:t>Shareholders’</w:t>
            </w:r>
          </w:p>
        </w:tc>
      </w:tr>
      <w:tr>
        <w:trPr>
          <w:trHeight w:val="167"/>
        </w:trPr>
        <w:tc>
          <w:tcPr>
            <w:tcW w:w="12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Issued</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Issued</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14"/>
                <w:szCs w:val="14"/>
                <w:color w:val="auto"/>
              </w:rPr>
            </w:pPr>
          </w:p>
        </w:tc>
        <w:tc>
          <w:tcPr>
            <w:tcW w:w="980" w:type="dxa"/>
            <w:vAlign w:val="bottom"/>
          </w:tcPr>
          <w:p>
            <w:pPr>
              <w:jc w:val="center"/>
              <w:ind w:right="50"/>
              <w:spacing w:after="0"/>
              <w:rPr>
                <w:sz w:val="20"/>
                <w:szCs w:val="20"/>
                <w:color w:val="auto"/>
              </w:rPr>
            </w:pPr>
            <w:r>
              <w:rPr>
                <w:rFonts w:ascii="Arial" w:cs="Arial" w:eastAsia="Arial" w:hAnsi="Arial"/>
                <w:sz w:val="12"/>
                <w:szCs w:val="12"/>
                <w:b w:val="1"/>
                <w:bCs w:val="1"/>
                <w:color w:val="auto"/>
                <w:w w:val="96"/>
              </w:rPr>
              <w:t>Equity (Deficit)</w:t>
            </w:r>
          </w:p>
        </w:tc>
      </w:tr>
      <w:tr>
        <w:trPr>
          <w:trHeight w:val="180"/>
        </w:trPr>
        <w:tc>
          <w:tcPr>
            <w:tcW w:w="1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84"/>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30, 2019</w:t>
            </w:r>
          </w:p>
        </w:tc>
        <w:tc>
          <w:tcPr>
            <w:tcW w:w="7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44,080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(737,447)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411,079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537,422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131,812</w:t>
            </w:r>
          </w:p>
        </w:tc>
      </w:tr>
      <w:tr>
        <w:trPr>
          <w:trHeight w:val="194"/>
        </w:trPr>
        <w:tc>
          <w:tcPr>
            <w:tcW w:w="1240" w:type="dxa"/>
            <w:vAlign w:val="bottom"/>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ordinary shares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due to share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option exercises,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net of shares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1240" w:type="dxa"/>
            <w:vAlign w:val="bottom"/>
          </w:tcPr>
          <w:p>
            <w:pPr>
              <w:ind w:left="40"/>
              <w:spacing w:after="0"/>
              <w:rPr>
                <w:sz w:val="20"/>
                <w:szCs w:val="20"/>
                <w:color w:val="auto"/>
              </w:rPr>
            </w:pPr>
            <w:r>
              <w:rPr>
                <w:rFonts w:ascii="Arial" w:cs="Arial" w:eastAsia="Arial" w:hAnsi="Arial"/>
                <w:sz w:val="14"/>
                <w:szCs w:val="14"/>
                <w:color w:val="auto"/>
              </w:rPr>
              <w:t>withheld for taxes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(28,388)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(40,906)</w:t>
            </w:r>
          </w:p>
        </w:tc>
      </w:tr>
      <w:tr>
        <w:trPr>
          <w:trHeight w:val="200"/>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share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units vested, net</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2"/>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shares withheld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 taxes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194"/>
        </w:trPr>
        <w:tc>
          <w:tcPr>
            <w:tcW w:w="1240" w:type="dxa"/>
            <w:vAlign w:val="bottom"/>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deferred ordinary</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1240" w:type="dxa"/>
            <w:vAlign w:val="bottom"/>
          </w:tcPr>
          <w:p>
            <w:pPr>
              <w:ind w:left="40"/>
              <w:spacing w:after="0"/>
              <w:rPr>
                <w:sz w:val="20"/>
                <w:szCs w:val="20"/>
                <w:color w:val="auto"/>
              </w:rPr>
            </w:pPr>
            <w:r>
              <w:rPr>
                <w:rFonts w:ascii="Arial" w:cs="Arial" w:eastAsia="Arial" w:hAnsi="Arial"/>
                <w:sz w:val="14"/>
                <w:szCs w:val="14"/>
                <w:color w:val="auto"/>
              </w:rPr>
              <w:t>shares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28</w:t>
            </w:r>
          </w:p>
        </w:tc>
      </w:tr>
      <w:tr>
        <w:trPr>
          <w:trHeight w:val="200"/>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of restricted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awards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94"/>
        </w:trPr>
        <w:tc>
          <w:tcPr>
            <w:tcW w:w="1240" w:type="dxa"/>
            <w:vAlign w:val="bottom"/>
          </w:tcPr>
          <w:p>
            <w:pPr>
              <w:ind w:left="40"/>
              <w:spacing w:after="0"/>
              <w:rPr>
                <w:sz w:val="20"/>
                <w:szCs w:val="20"/>
                <w:color w:val="auto"/>
              </w:rPr>
            </w:pPr>
            <w:r>
              <w:rPr>
                <w:rFonts w:ascii="Arial" w:cs="Arial" w:eastAsia="Arial" w:hAnsi="Arial"/>
                <w:sz w:val="14"/>
                <w:szCs w:val="14"/>
                <w:color w:val="auto"/>
              </w:rPr>
              <w:t>Share-based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compensation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1240" w:type="dxa"/>
            <w:vAlign w:val="bottom"/>
          </w:tcPr>
          <w:p>
            <w:pPr>
              <w:ind w:left="40"/>
              <w:spacing w:after="0"/>
              <w:rPr>
                <w:sz w:val="20"/>
                <w:szCs w:val="20"/>
                <w:color w:val="auto"/>
              </w:rPr>
            </w:pPr>
            <w:r>
              <w:rPr>
                <w:rFonts w:ascii="Arial" w:cs="Arial" w:eastAsia="Arial" w:hAnsi="Arial"/>
                <w:sz w:val="14"/>
                <w:szCs w:val="14"/>
                <w:color w:val="auto"/>
              </w:rPr>
              <w:t>expense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34,810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34,810</w:t>
            </w:r>
          </w:p>
        </w:tc>
      </w:tr>
      <w:tr>
        <w:trPr>
          <w:trHeight w:val="200"/>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ordinary shares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(627,056)</w:t>
            </w:r>
          </w:p>
        </w:tc>
      </w:tr>
      <w:tr>
        <w:trPr>
          <w:trHeight w:val="194"/>
        </w:trPr>
        <w:tc>
          <w:tcPr>
            <w:tcW w:w="12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attributable to</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1240" w:type="dxa"/>
            <w:vAlign w:val="bottom"/>
          </w:tcPr>
          <w:p>
            <w:pPr>
              <w:ind w:left="40"/>
              <w:spacing w:after="0"/>
              <w:rPr>
                <w:sz w:val="20"/>
                <w:szCs w:val="20"/>
                <w:color w:val="auto"/>
              </w:rPr>
            </w:pPr>
            <w:r>
              <w:rPr>
                <w:rFonts w:ascii="Arial" w:cs="Arial" w:eastAsia="Arial" w:hAnsi="Arial"/>
                <w:sz w:val="14"/>
                <w:szCs w:val="14"/>
                <w:color w:val="auto"/>
              </w:rPr>
              <w:t>Cimpress plc</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83,365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83,365</w:t>
            </w:r>
          </w:p>
        </w:tc>
      </w:tr>
      <w:tr>
        <w:trPr>
          <w:trHeight w:val="200"/>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2"/>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accretion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2"/>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 redemption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(5,493)</w:t>
            </w:r>
          </w:p>
        </w:tc>
      </w:tr>
      <w:tr>
        <w:trPr>
          <w:trHeight w:val="194"/>
        </w:trPr>
        <w:tc>
          <w:tcPr>
            <w:tcW w:w="1240" w:type="dxa"/>
            <w:vAlign w:val="bottom"/>
          </w:tcPr>
          <w:p>
            <w:pPr>
              <w:ind w:left="40"/>
              <w:spacing w:after="0"/>
              <w:rPr>
                <w:sz w:val="20"/>
                <w:szCs w:val="20"/>
                <w:color w:val="auto"/>
              </w:rPr>
            </w:pPr>
            <w:r>
              <w:rPr>
                <w:rFonts w:ascii="Arial" w:cs="Arial" w:eastAsia="Arial" w:hAnsi="Arial"/>
                <w:sz w:val="14"/>
                <w:szCs w:val="14"/>
                <w:color w:val="auto"/>
              </w:rPr>
              <w:t>Adoption of new</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accounting</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1240" w:type="dxa"/>
            <w:vAlign w:val="bottom"/>
          </w:tcPr>
          <w:p>
            <w:pPr>
              <w:ind w:left="40"/>
              <w:spacing w:after="0"/>
              <w:rPr>
                <w:sz w:val="20"/>
                <w:szCs w:val="20"/>
                <w:color w:val="auto"/>
              </w:rPr>
            </w:pPr>
            <w:r>
              <w:rPr>
                <w:rFonts w:ascii="Arial" w:cs="Arial" w:eastAsia="Arial" w:hAnsi="Arial"/>
                <w:sz w:val="14"/>
                <w:szCs w:val="14"/>
                <w:color w:val="auto"/>
              </w:rPr>
              <w:t>standards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3,143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3,143</w:t>
            </w:r>
          </w:p>
        </w:tc>
      </w:tr>
      <w:tr>
        <w:trPr>
          <w:trHeight w:val="200"/>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22,432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22,432</w:t>
            </w:r>
          </w:p>
        </w:tc>
      </w:tr>
      <w:tr>
        <w:trPr>
          <w:trHeight w:val="194"/>
        </w:trPr>
        <w:tc>
          <w:tcPr>
            <w:tcW w:w="1240" w:type="dxa"/>
            <w:vAlign w:val="bottom"/>
          </w:tcPr>
          <w:p>
            <w:pPr>
              <w:ind w:left="40"/>
              <w:spacing w:after="0"/>
              <w:rPr>
                <w:sz w:val="20"/>
                <w:szCs w:val="20"/>
                <w:color w:val="auto"/>
              </w:rPr>
            </w:pPr>
            <w:r>
              <w:rPr>
                <w:rFonts w:ascii="Arial" w:cs="Arial" w:eastAsia="Arial" w:hAnsi="Arial"/>
                <w:sz w:val="14"/>
                <w:szCs w:val="14"/>
                <w:color w:val="auto"/>
              </w:rPr>
              <w:t>Net unrealized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loss on derivative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instruments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designated and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qualifying as cash</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1240" w:type="dxa"/>
            <w:vAlign w:val="bottom"/>
          </w:tcPr>
          <w:p>
            <w:pPr>
              <w:ind w:left="40"/>
              <w:spacing w:after="0"/>
              <w:rPr>
                <w:sz w:val="20"/>
                <w:szCs w:val="20"/>
                <w:color w:val="auto"/>
              </w:rPr>
            </w:pPr>
            <w:r>
              <w:rPr>
                <w:rFonts w:ascii="Arial" w:cs="Arial" w:eastAsia="Arial" w:hAnsi="Arial"/>
                <w:sz w:val="14"/>
                <w:szCs w:val="14"/>
                <w:color w:val="auto"/>
              </w:rPr>
              <w:t>flow hedges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(18,796)</w:t>
            </w:r>
          </w:p>
        </w:tc>
      </w:tr>
      <w:tr>
        <w:trPr>
          <w:trHeight w:val="200"/>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62"/>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net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4"/>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hedges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11,172</w:t>
            </w:r>
          </w:p>
        </w:tc>
      </w:tr>
      <w:tr>
        <w:trPr>
          <w:trHeight w:val="194"/>
        </w:trPr>
        <w:tc>
          <w:tcPr>
            <w:tcW w:w="1240" w:type="dxa"/>
            <w:vAlign w:val="bottom"/>
          </w:tcPr>
          <w:p>
            <w:pPr>
              <w:ind w:left="40"/>
              <w:spacing w:after="0"/>
              <w:rPr>
                <w:sz w:val="20"/>
                <w:szCs w:val="20"/>
                <w:color w:val="auto"/>
              </w:rPr>
            </w:pPr>
            <w:r>
              <w:rPr>
                <w:rFonts w:ascii="Arial" w:cs="Arial" w:eastAsia="Arial" w:hAnsi="Arial"/>
                <w:sz w:val="14"/>
                <w:szCs w:val="14"/>
                <w:color w:val="auto"/>
              </w:rPr>
              <w:t>Unrealized loss on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pension benefit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1240" w:type="dxa"/>
            <w:vAlign w:val="bottom"/>
          </w:tcPr>
          <w:p>
            <w:pPr>
              <w:ind w:left="40"/>
              <w:spacing w:after="0"/>
              <w:rPr>
                <w:sz w:val="20"/>
                <w:szCs w:val="20"/>
                <w:color w:val="auto"/>
              </w:rPr>
            </w:pPr>
            <w:r>
              <w:rPr>
                <w:rFonts w:ascii="Arial" w:cs="Arial" w:eastAsia="Arial" w:hAnsi="Arial"/>
                <w:sz w:val="14"/>
                <w:szCs w:val="14"/>
                <w:color w:val="auto"/>
              </w:rPr>
              <w:t>obligation, net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1240" w:type="dxa"/>
            <w:vAlign w:val="bottom"/>
          </w:tcPr>
          <w:p>
            <w:pPr>
              <w:ind w:left="40"/>
              <w:spacing w:after="0"/>
              <w:rPr>
                <w:sz w:val="20"/>
                <w:szCs w:val="20"/>
                <w:color w:val="auto"/>
              </w:rPr>
            </w:pPr>
            <w:r>
              <w:rPr>
                <w:rFonts w:ascii="Arial" w:cs="Arial" w:eastAsia="Arial" w:hAnsi="Arial"/>
                <w:sz w:val="14"/>
                <w:szCs w:val="14"/>
                <w:color w:val="auto"/>
              </w:rPr>
              <w:t>tax</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(1,195)</w:t>
            </w:r>
          </w:p>
        </w:tc>
      </w:tr>
      <w:tr>
        <w:trPr>
          <w:trHeight w:val="180"/>
        </w:trPr>
        <w:tc>
          <w:tcPr>
            <w:tcW w:w="1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June</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78"/>
        </w:trPr>
        <w:tc>
          <w:tcPr>
            <w:tcW w:w="1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30, 2020</w:t>
            </w:r>
          </w:p>
        </w:tc>
        <w:tc>
          <w:tcPr>
            <w:tcW w:w="7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44,080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(18,195)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(1,376,496)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438,616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618,437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(88,676)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(407,476)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60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07"/>
        </w:trPr>
        <w:tc>
          <w:tcPr>
            <w:tcW w:w="7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r>
      <w:tr>
        <w:trPr>
          <w:trHeight w:val="217"/>
        </w:trPr>
        <w:tc>
          <w:tcPr>
            <w:tcW w:w="7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83,995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93,480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46,788</w:t>
            </w: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3"/>
        </w:trPr>
        <w:tc>
          <w:tcPr>
            <w:tcW w:w="73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167,943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173,771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169,005</w:t>
            </w:r>
          </w:p>
        </w:tc>
      </w:tr>
      <w:tr>
        <w:trPr>
          <w:trHeight w:val="253"/>
        </w:trPr>
        <w:tc>
          <w:tcPr>
            <w:tcW w:w="7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Impairment of goodwill</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100,842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300" w:type="dxa"/>
            <w:vAlign w:val="bottom"/>
          </w:tcPr>
          <w:p>
            <w:pPr>
              <w:ind w:left="28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34,874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50,466</w:t>
            </w:r>
          </w:p>
        </w:tc>
      </w:tr>
      <w:tr>
        <w:trPr>
          <w:trHeight w:val="253"/>
        </w:trPr>
        <w:tc>
          <w:tcPr>
            <w:tcW w:w="7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(14,039)</w:t>
            </w:r>
          </w:p>
        </w:tc>
      </w:tr>
      <w:tr>
        <w:trPr>
          <w:trHeight w:val="233"/>
        </w:trPr>
        <w:tc>
          <w:tcPr>
            <w:tcW w:w="7300" w:type="dxa"/>
            <w:vAlign w:val="bottom"/>
          </w:tcPr>
          <w:p>
            <w:pPr>
              <w:ind w:left="280"/>
              <w:spacing w:after="0"/>
              <w:rPr>
                <w:sz w:val="20"/>
                <w:szCs w:val="20"/>
                <w:color w:val="auto"/>
              </w:rPr>
            </w:pPr>
            <w:r>
              <w:rPr>
                <w:rFonts w:ascii="Arial" w:cs="Arial" w:eastAsia="Arial" w:hAnsi="Arial"/>
                <w:sz w:val="16"/>
                <w:szCs w:val="16"/>
                <w:color w:val="auto"/>
              </w:rPr>
              <w:t>Gain on sale of subsidiaries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(47,545)</w:t>
            </w:r>
          </w:p>
        </w:tc>
      </w:tr>
      <w:tr>
        <w:trPr>
          <w:trHeight w:val="253"/>
        </w:trPr>
        <w:tc>
          <w:tcPr>
            <w:tcW w:w="7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early extinguishment of debt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17,359</w:t>
            </w:r>
          </w:p>
        </w:tc>
      </w:tr>
      <w:tr>
        <w:trPr>
          <w:trHeight w:val="233"/>
        </w:trPr>
        <w:tc>
          <w:tcPr>
            <w:tcW w:w="7300" w:type="dxa"/>
            <w:vAlign w:val="bottom"/>
          </w:tcPr>
          <w:p>
            <w:pPr>
              <w:ind w:left="280"/>
              <w:spacing w:after="0"/>
              <w:rPr>
                <w:sz w:val="20"/>
                <w:szCs w:val="20"/>
                <w:color w:val="auto"/>
              </w:rPr>
            </w:pPr>
            <w:r>
              <w:rPr>
                <w:rFonts w:ascii="Arial" w:cs="Arial" w:eastAsia="Arial" w:hAnsi="Arial"/>
                <w:sz w:val="16"/>
                <w:szCs w:val="16"/>
                <w:color w:val="auto"/>
              </w:rPr>
              <w:t>Change in contingent earn-out liability</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1,774</w:t>
            </w:r>
          </w:p>
        </w:tc>
      </w:tr>
      <w:tr>
        <w:trPr>
          <w:trHeight w:val="228"/>
        </w:trPr>
        <w:tc>
          <w:tcPr>
            <w:tcW w:w="7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(loss) gain on derivatives not designated as hedging instruments included in net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7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(15,540)</w:t>
            </w:r>
          </w:p>
        </w:tc>
      </w:tr>
      <w:tr>
        <w:trPr>
          <w:trHeight w:val="218"/>
        </w:trPr>
        <w:tc>
          <w:tcPr>
            <w:tcW w:w="7300" w:type="dxa"/>
            <w:vAlign w:val="bottom"/>
          </w:tcPr>
          <w:p>
            <w:pPr>
              <w:ind w:left="28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7300" w:type="dxa"/>
            <w:vAlign w:val="bottom"/>
          </w:tcPr>
          <w:p>
            <w:pPr>
              <w:ind w:left="280"/>
              <w:spacing w:after="0"/>
              <w:rPr>
                <w:sz w:val="20"/>
                <w:szCs w:val="20"/>
                <w:color w:val="auto"/>
              </w:rPr>
            </w:pPr>
            <w:r>
              <w:rPr>
                <w:rFonts w:ascii="Arial" w:cs="Arial" w:eastAsia="Arial" w:hAnsi="Arial"/>
                <w:sz w:val="16"/>
                <w:szCs w:val="16"/>
                <w:color w:val="auto"/>
              </w:rPr>
              <w:t>currency</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19,460</w:t>
            </w:r>
          </w:p>
        </w:tc>
      </w:tr>
      <w:tr>
        <w:trPr>
          <w:trHeight w:val="253"/>
        </w:trPr>
        <w:tc>
          <w:tcPr>
            <w:tcW w:w="7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contingent consideration in excess of acquisition date fair value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w:t>
            </w:r>
          </w:p>
        </w:tc>
      </w:tr>
      <w:tr>
        <w:trPr>
          <w:trHeight w:val="233"/>
        </w:trPr>
        <w:tc>
          <w:tcPr>
            <w:tcW w:w="7300" w:type="dxa"/>
            <w:vAlign w:val="bottom"/>
          </w:tcPr>
          <w:p>
            <w:pPr>
              <w:ind w:left="280"/>
              <w:spacing w:after="0"/>
              <w:rPr>
                <w:sz w:val="20"/>
                <w:szCs w:val="20"/>
                <w:color w:val="auto"/>
              </w:rPr>
            </w:pPr>
            <w:r>
              <w:rPr>
                <w:rFonts w:ascii="Arial" w:cs="Arial" w:eastAsia="Arial" w:hAnsi="Arial"/>
                <w:sz w:val="16"/>
                <w:szCs w:val="16"/>
                <w:color w:val="auto"/>
              </w:rPr>
              <w:t>Other non-cash items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11,283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4,668</w:t>
            </w:r>
          </w:p>
        </w:tc>
      </w:tr>
      <w:tr>
        <w:trPr>
          <w:trHeight w:val="253"/>
        </w:trPr>
        <w:tc>
          <w:tcPr>
            <w:tcW w:w="7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3"/>
        </w:trPr>
        <w:tc>
          <w:tcPr>
            <w:tcW w:w="730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26,659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(5,123)</w:t>
            </w:r>
          </w:p>
        </w:tc>
      </w:tr>
      <w:tr>
        <w:trPr>
          <w:trHeight w:val="253"/>
        </w:trPr>
        <w:tc>
          <w:tcPr>
            <w:tcW w:w="73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(7,068)</w:t>
            </w:r>
          </w:p>
        </w:tc>
      </w:tr>
      <w:tr>
        <w:trPr>
          <w:trHeight w:val="233"/>
        </w:trPr>
        <w:tc>
          <w:tcPr>
            <w:tcW w:w="730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11,946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(2,472)</w:t>
            </w:r>
          </w:p>
        </w:tc>
      </w:tr>
      <w:tr>
        <w:trPr>
          <w:trHeight w:val="253"/>
        </w:trPr>
        <w:tc>
          <w:tcPr>
            <w:tcW w:w="73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19,835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21,782</w:t>
            </w:r>
          </w:p>
        </w:tc>
      </w:tr>
      <w:tr>
        <w:trPr>
          <w:trHeight w:val="237"/>
        </w:trPr>
        <w:tc>
          <w:tcPr>
            <w:tcW w:w="73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36,766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11,803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(42,544)</w:t>
            </w: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338,444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331,095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192,332</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(60,930)</w:t>
            </w: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93,779</w:t>
            </w: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(289,920)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color w:val="auto"/>
              </w:rPr>
              <w:t>Purchases of intangible assets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(40,847)</w:t>
            </w: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color w:val="auto"/>
              </w:rPr>
              <w:t>Proceeds from the sale of assets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886</w:t>
            </w: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(payments for) settlement of derivatives designated as hedging instruments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(3,064)</w:t>
            </w: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(66,864)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(420,166)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(10,594)</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of debt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1,281,490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1,140,607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805,995</w:t>
            </w: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color w:val="auto"/>
              </w:rPr>
              <w:t>Proceeds from issuance of senior notes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210,500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400,000</w:t>
            </w:r>
          </w:p>
        </w:tc>
      </w:tr>
      <w:tr>
        <w:trPr>
          <w:trHeight w:val="28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second lien notes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271,568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300" w:type="dxa"/>
            <w:vAlign w:val="bottom"/>
          </w:tcPr>
          <w:p>
            <w:pPr>
              <w:ind w:left="20"/>
              <w:spacing w:after="0"/>
              <w:rPr>
                <w:sz w:val="20"/>
                <w:szCs w:val="20"/>
                <w:color w:val="auto"/>
              </w:rPr>
            </w:pPr>
            <w:r>
              <w:rPr>
                <w:rFonts w:ascii="Arial" w:cs="Arial" w:eastAsia="Arial" w:hAnsi="Arial"/>
                <w:sz w:val="16"/>
                <w:szCs w:val="16"/>
                <w:color w:val="auto"/>
              </w:rPr>
              <w:t>Proceeds from issuance of warrants</w:t>
            </w:r>
          </w:p>
        </w:tc>
        <w:tc>
          <w:tcPr>
            <w:tcW w:w="2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22,432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(1,337,334)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(947,696)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(974,781)</w:t>
            </w: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color w:val="auto"/>
              </w:rPr>
              <w:t>Payments for early redemption of senior notes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(275,000)</w:t>
            </w: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early redemption fees for senior notes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(14,438)</w:t>
            </w:r>
          </w:p>
        </w:tc>
      </w:tr>
      <w:tr>
        <w:trPr>
          <w:trHeight w:val="233"/>
        </w:trPr>
        <w:tc>
          <w:tcPr>
            <w:tcW w:w="7300" w:type="dxa"/>
            <w:vAlign w:val="bottom"/>
          </w:tcPr>
          <w:p>
            <w:pPr>
              <w:ind w:left="2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(10,629)</w:t>
            </w:r>
          </w:p>
        </w:tc>
      </w:tr>
      <w:tr>
        <w:trPr>
          <w:trHeight w:val="25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w:t>
            </w: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(19,698)</w:t>
            </w: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Payments of finance lease obligations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00"/>
          </w:cols>
          <w:pgMar w:left="340" w:top="549" w:right="35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00"/>
          </w:cols>
          <w:pgMar w:left="340" w:top="549" w:right="35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9"/>
        </w:trPr>
        <w:tc>
          <w:tcPr>
            <w:tcW w:w="20" w:type="dxa"/>
            <w:vAlign w:val="bottom"/>
          </w:tcPr>
          <w:p>
            <w:pPr>
              <w:spacing w:after="0"/>
              <w:rPr>
                <w:sz w:val="3"/>
                <w:szCs w:val="3"/>
                <w:color w:val="auto"/>
              </w:rPr>
            </w:pPr>
          </w:p>
        </w:tc>
        <w:tc>
          <w:tcPr>
            <w:tcW w:w="73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8"/>
        </w:trPr>
        <w:tc>
          <w:tcPr>
            <w:tcW w:w="20" w:type="dxa"/>
            <w:vAlign w:val="bottom"/>
          </w:tcPr>
          <w:p>
            <w:pPr>
              <w:spacing w:after="0"/>
              <w:rPr>
                <w:sz w:val="22"/>
                <w:szCs w:val="22"/>
                <w:color w:val="auto"/>
              </w:rPr>
            </w:pPr>
          </w:p>
        </w:tc>
        <w:tc>
          <w:tcPr>
            <w:tcW w:w="73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r>
      <w:tr>
        <w:trPr>
          <w:trHeight w:val="256"/>
        </w:trPr>
        <w:tc>
          <w:tcPr>
            <w:tcW w:w="20" w:type="dxa"/>
            <w:vAlign w:val="bottom"/>
          </w:tcPr>
          <w:p>
            <w:pPr>
              <w:spacing w:after="0"/>
              <w:rPr>
                <w:sz w:val="22"/>
                <w:szCs w:val="22"/>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noncontrolling interests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r>
      <w:tr>
        <w:trPr>
          <w:trHeight w:val="260"/>
        </w:trPr>
        <w:tc>
          <w:tcPr>
            <w:tcW w:w="20" w:type="dxa"/>
            <w:vAlign w:val="bottom"/>
          </w:tcPr>
          <w:p>
            <w:pPr>
              <w:spacing w:after="0"/>
              <w:rPr>
                <w:sz w:val="22"/>
                <w:szCs w:val="22"/>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Proceeds from sale of noncontrolling interest</w:t>
            </w: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57,046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35,390</w:t>
            </w:r>
          </w:p>
        </w:tc>
      </w:tr>
      <w:tr>
        <w:trPr>
          <w:trHeight w:val="280"/>
        </w:trPr>
        <w:tc>
          <w:tcPr>
            <w:tcW w:w="20" w:type="dxa"/>
            <w:vAlign w:val="bottom"/>
          </w:tcPr>
          <w:p>
            <w:pPr>
              <w:spacing w:after="0"/>
              <w:rPr>
                <w:sz w:val="24"/>
                <w:szCs w:val="24"/>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ordinary shares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(627,056)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(94,710)</w:t>
            </w:r>
          </w:p>
        </w:tc>
      </w:tr>
      <w:tr>
        <w:trPr>
          <w:trHeight w:val="260"/>
        </w:trPr>
        <w:tc>
          <w:tcPr>
            <w:tcW w:w="20" w:type="dxa"/>
            <w:vAlign w:val="bottom"/>
          </w:tcPr>
          <w:p>
            <w:pPr>
              <w:spacing w:after="0"/>
              <w:rPr>
                <w:sz w:val="22"/>
                <w:szCs w:val="22"/>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11,981</w:t>
            </w:r>
          </w:p>
        </w:tc>
      </w:tr>
      <w:tr>
        <w:trPr>
          <w:trHeight w:val="280"/>
        </w:trPr>
        <w:tc>
          <w:tcPr>
            <w:tcW w:w="20" w:type="dxa"/>
            <w:vAlign w:val="bottom"/>
          </w:tcPr>
          <w:p>
            <w:pPr>
              <w:spacing w:after="0"/>
              <w:rPr>
                <w:sz w:val="24"/>
                <w:szCs w:val="24"/>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loans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w:t>
            </w:r>
          </w:p>
        </w:tc>
      </w:tr>
      <w:tr>
        <w:trPr>
          <w:trHeight w:val="260"/>
        </w:trPr>
        <w:tc>
          <w:tcPr>
            <w:tcW w:w="20" w:type="dxa"/>
            <w:vAlign w:val="bottom"/>
          </w:tcPr>
          <w:p>
            <w:pPr>
              <w:spacing w:after="0"/>
              <w:rPr>
                <w:sz w:val="22"/>
                <w:szCs w:val="22"/>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Distribution to noncontrolling interest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(3,955)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20" w:type="dxa"/>
            <w:vAlign w:val="bottom"/>
          </w:tcPr>
          <w:p>
            <w:pPr>
              <w:spacing w:after="0"/>
              <w:rPr>
                <w:sz w:val="23"/>
                <w:szCs w:val="23"/>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81,989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(177,757)</w:t>
            </w:r>
          </w:p>
        </w:tc>
      </w:tr>
      <w:tr>
        <w:trPr>
          <w:trHeight w:val="280"/>
        </w:trPr>
        <w:tc>
          <w:tcPr>
            <w:tcW w:w="20" w:type="dxa"/>
            <w:vAlign w:val="bottom"/>
          </w:tcPr>
          <w:p>
            <w:pPr>
              <w:spacing w:after="0"/>
              <w:rPr>
                <w:sz w:val="24"/>
                <w:szCs w:val="24"/>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2,507</w:t>
            </w:r>
          </w:p>
        </w:tc>
      </w:tr>
      <w:tr>
        <w:trPr>
          <w:trHeight w:val="263"/>
        </w:trPr>
        <w:tc>
          <w:tcPr>
            <w:tcW w:w="20" w:type="dxa"/>
            <w:vAlign w:val="bottom"/>
          </w:tcPr>
          <w:p>
            <w:pPr>
              <w:spacing w:after="0"/>
              <w:rPr>
                <w:sz w:val="22"/>
                <w:szCs w:val="22"/>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Change in cash held for sale</w:t>
            </w: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12,042</w:t>
            </w:r>
          </w:p>
        </w:tc>
      </w:tr>
      <w:tr>
        <w:trPr>
          <w:trHeight w:val="257"/>
        </w:trPr>
        <w:tc>
          <w:tcPr>
            <w:tcW w:w="20" w:type="dxa"/>
            <w:vAlign w:val="bottom"/>
          </w:tcPr>
          <w:p>
            <w:pPr>
              <w:spacing w:after="0"/>
              <w:rPr>
                <w:sz w:val="22"/>
                <w:szCs w:val="22"/>
                <w:color w:val="auto"/>
              </w:rPr>
            </w:pPr>
          </w:p>
        </w:tc>
        <w:tc>
          <w:tcPr>
            <w:tcW w:w="7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9,742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(8,948)</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18,530</w:t>
            </w:r>
          </w:p>
        </w:tc>
      </w:tr>
      <w:tr>
        <w:trPr>
          <w:trHeight w:val="263"/>
        </w:trPr>
        <w:tc>
          <w:tcPr>
            <w:tcW w:w="20" w:type="dxa"/>
            <w:vAlign w:val="bottom"/>
          </w:tcPr>
          <w:p>
            <w:pPr>
              <w:spacing w:after="0"/>
              <w:rPr>
                <w:sz w:val="22"/>
                <w:szCs w:val="22"/>
                <w:color w:val="auto"/>
              </w:rPr>
            </w:pPr>
          </w:p>
        </w:tc>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35,279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44,227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25,697</w:t>
            </w:r>
          </w:p>
        </w:tc>
      </w:tr>
      <w:tr>
        <w:trPr>
          <w:trHeight w:val="240"/>
        </w:trPr>
        <w:tc>
          <w:tcPr>
            <w:tcW w:w="20" w:type="dxa"/>
            <w:vAlign w:val="bottom"/>
          </w:tcPr>
          <w:p>
            <w:pPr>
              <w:spacing w:after="0"/>
              <w:rPr>
                <w:sz w:val="20"/>
                <w:szCs w:val="20"/>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45,021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35,279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70"/>
        </w:trPr>
        <w:tc>
          <w:tcPr>
            <w:tcW w:w="20" w:type="dxa"/>
            <w:vAlign w:val="bottom"/>
          </w:tcPr>
          <w:p>
            <w:pPr>
              <w:spacing w:after="0"/>
              <w:rPr>
                <w:sz w:val="23"/>
                <w:szCs w:val="23"/>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0"/>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shd w:val="clear" w:color="auto" w:fill="CCEEFF"/>
              </w:rPr>
              <w:t>Interest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72,906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56,614</w:t>
            </w:r>
          </w:p>
        </w:tc>
      </w:tr>
      <w:tr>
        <w:trPr>
          <w:trHeight w:val="260"/>
        </w:trPr>
        <w:tc>
          <w:tcPr>
            <w:tcW w:w="20" w:type="dxa"/>
            <w:vAlign w:val="bottom"/>
          </w:tcPr>
          <w:p>
            <w:pPr>
              <w:spacing w:after="0"/>
              <w:rPr>
                <w:sz w:val="22"/>
                <w:szCs w:val="22"/>
                <w:color w:val="auto"/>
              </w:rPr>
            </w:pPr>
          </w:p>
        </w:tc>
        <w:tc>
          <w:tcPr>
            <w:tcW w:w="7300" w:type="dxa"/>
            <w:vAlign w:val="bottom"/>
          </w:tcPr>
          <w:p>
            <w:pPr>
              <w:ind w:left="48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13,520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26,369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32,278</w:t>
            </w:r>
          </w:p>
        </w:tc>
      </w:tr>
      <w:tr>
        <w:trPr>
          <w:trHeight w:val="280"/>
        </w:trPr>
        <w:tc>
          <w:tcPr>
            <w:tcW w:w="20" w:type="dxa"/>
            <w:vAlign w:val="bottom"/>
          </w:tcPr>
          <w:p>
            <w:pPr>
              <w:spacing w:after="0"/>
              <w:rPr>
                <w:sz w:val="24"/>
                <w:szCs w:val="24"/>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Capitalization of construction costs related to financing lease obligation (1)</w:t>
            </w:r>
          </w:p>
        </w:tc>
        <w:tc>
          <w:tcPr>
            <w:tcW w:w="28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13,448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19,264</w:t>
            </w:r>
          </w:p>
        </w:tc>
      </w:tr>
      <w:tr>
        <w:trPr>
          <w:trHeight w:val="280"/>
        </w:trPr>
        <w:tc>
          <w:tcPr>
            <w:tcW w:w="20" w:type="dxa"/>
            <w:vAlign w:val="bottom"/>
          </w:tcPr>
          <w:p>
            <w:pPr>
              <w:spacing w:after="0"/>
              <w:rPr>
                <w:sz w:val="24"/>
                <w:szCs w:val="24"/>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7,535</w:t>
            </w:r>
          </w:p>
        </w:tc>
      </w:tr>
      <w:tr>
        <w:trPr>
          <w:trHeight w:val="250"/>
        </w:trPr>
        <w:tc>
          <w:tcPr>
            <w:tcW w:w="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Amounts accrued related to business acquisitions</w:t>
            </w:r>
          </w:p>
        </w:tc>
        <w:tc>
          <w:tcPr>
            <w:tcW w:w="2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5,868</w:t>
            </w:r>
          </w:p>
        </w:tc>
      </w:tr>
      <w:tr>
        <w:trPr>
          <w:trHeight w:val="197"/>
        </w:trPr>
        <w:tc>
          <w:tcPr>
            <w:tcW w:w="7320" w:type="dxa"/>
            <w:vAlign w:val="bottom"/>
            <w:gridSpan w:val="2"/>
          </w:tcPr>
          <w:p>
            <w:pPr>
              <w:jc w:val="right"/>
              <w:ind w:right="5639"/>
              <w:spacing w:after="0"/>
              <w:rPr>
                <w:sz w:val="20"/>
                <w:szCs w:val="20"/>
                <w:color w:val="auto"/>
              </w:rPr>
            </w:pPr>
            <w:r>
              <w:rPr>
                <w:rFonts w:ascii="Arial" w:cs="Arial" w:eastAsia="Arial" w:hAnsi="Arial"/>
                <w:sz w:val="14"/>
                <w:szCs w:val="14"/>
                <w:color w:val="auto"/>
              </w:rPr>
              <w:t>____________________</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44" w:lineRule="exact"/>
        <w:rPr>
          <w:sz w:val="20"/>
          <w:szCs w:val="20"/>
          <w:color w:val="auto"/>
        </w:rPr>
      </w:pPr>
    </w:p>
    <w:p>
      <w:pPr>
        <w:ind w:left="260" w:right="180" w:hanging="252"/>
        <w:spacing w:after="0" w:line="258" w:lineRule="auto"/>
        <w:tabs>
          <w:tab w:leader="none" w:pos="233" w:val="left"/>
        </w:tabs>
        <w:numPr>
          <w:ilvl w:val="0"/>
          <w:numId w:val="45"/>
        </w:numPr>
        <w:rPr>
          <w:rFonts w:ascii="Arial" w:cs="Arial" w:eastAsia="Arial" w:hAnsi="Arial"/>
          <w:sz w:val="14"/>
          <w:szCs w:val="14"/>
          <w:color w:val="auto"/>
        </w:rPr>
      </w:pPr>
      <w:r>
        <w:rPr>
          <w:rFonts w:ascii="Arial" w:cs="Arial" w:eastAsia="Arial" w:hAnsi="Arial"/>
          <w:sz w:val="14"/>
          <w:szCs w:val="14"/>
          <w:color w:val="auto"/>
        </w:rPr>
        <w:t>Due to our adoption of the new leasing standard on July 1, 2019, any costs previously capitalized for a build-to-suit lease and included in the financing lease obligation are now classified as an operating lease and the lease financing obligation has been de-recognized. Refer to Note 2 for additional details.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549" w:right="3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June 30, 2020,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0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Mass customization is a core element of the business model of each Cimpress business.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Merger</w:t>
      </w:r>
    </w:p>
    <w:p>
      <w:pPr>
        <w:spacing w:after="0" w:line="20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December 3, 2019, Cimpress moved its place of incorporation from the Netherlands to Ireland through a cross-border merger in which Cimpress N.V., a Dutch public limited company, merged with and into Cimpress plc, an Irish public limited company, with Cimpress plc surviving the Irish Merger. As a result of the Irish Merger, all of Cimpress N.V.'s outstanding ordinary shares, par value € 0.01 per share, were exchanged on a one-for-one basis for newly issued ordinary shares, nominal value of €0.01 per share, of Cimpress plc, and Cimpress plc assumed all of Cimpress N.V.'s existing rights and obligations.</w:t>
      </w:r>
    </w:p>
    <w:p>
      <w:pPr>
        <w:spacing w:after="0" w:line="165" w:lineRule="exact"/>
        <w:rPr>
          <w:sz w:val="20"/>
          <w:szCs w:val="20"/>
          <w:color w:val="auto"/>
        </w:rPr>
      </w:pPr>
    </w:p>
    <w:p>
      <w:pPr>
        <w:ind w:right="40" w:firstLine="648"/>
        <w:spacing w:after="0" w:line="265" w:lineRule="auto"/>
        <w:rPr>
          <w:sz w:val="20"/>
          <w:szCs w:val="20"/>
          <w:color w:val="auto"/>
        </w:rPr>
      </w:pPr>
      <w:r>
        <w:rPr>
          <w:rFonts w:ascii="Arial" w:cs="Arial" w:eastAsia="Arial" w:hAnsi="Arial"/>
          <w:sz w:val="17"/>
          <w:szCs w:val="17"/>
          <w:color w:val="auto"/>
        </w:rPr>
        <w:t>In conjunction with the Irish Merger, 25,000 Cimpress plc deferred ordinary shares were issued to meet the Irish statutory minimum capital requirements of an Irish public limited company. The deferred ordinary shares remain outstanding following the completion of the Irish Merger and will continue to be outstanding until redeemed or surrendered. These deferred ordinary shares (i) do not have any voting rights;</w:t>
      </w:r>
    </w:p>
    <w:p>
      <w:pPr>
        <w:ind w:right="220" w:firstLine="8"/>
        <w:spacing w:after="0" w:line="256" w:lineRule="auto"/>
        <w:tabs>
          <w:tab w:leader="none" w:pos="2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 not entitle the holders thereof to any dividends or other distributions of Cimpress plc; and (iii) do not entitle the holders thereof to participate in the surplus assets of Cimpress plc on a winding-up beyond, in total, the nominal value of such deferred ordinary shares held. Accordingly, these deferred ordinary shares do not dilute the economic ownership of Cimpress plc shareholders.</w:t>
      </w:r>
    </w:p>
    <w:p>
      <w:pPr>
        <w:spacing w:after="0" w:line="16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Irish Merger was accounted for as a merger between entities under common control. The historical financial statements of Cimpress N.V. for periods prior to the Irish Merger are considered to be the historical financial statements of Cimpress plc. The Irish Merger has not had and is not expected to have a material impact on how Cimpress conducts its day-to-day operations, its financial position, consolidated effective tax rate, results of operations or cash flows.</w:t>
      </w:r>
    </w:p>
    <w:p>
      <w:pPr>
        <w:spacing w:after="0" w:line="236" w:lineRule="exact"/>
        <w:rPr>
          <w:sz w:val="20"/>
          <w:szCs w:val="20"/>
          <w:color w:val="auto"/>
        </w:rPr>
      </w:pPr>
    </w:p>
    <w:p>
      <w:pPr>
        <w:ind w:right="7240" w:firstLine="8"/>
        <w:spacing w:after="0" w:line="498" w:lineRule="auto"/>
        <w:tabs>
          <w:tab w:leader="none" w:pos="2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60" w:firstLine="648"/>
        <w:spacing w:after="0" w:line="253" w:lineRule="auto"/>
        <w:rPr>
          <w:sz w:val="20"/>
          <w:szCs w:val="20"/>
          <w:color w:val="auto"/>
        </w:rPr>
      </w:pPr>
      <w:r>
        <w:rPr>
          <w:rFonts w:ascii="Arial" w:cs="Arial" w:eastAsia="Arial" w:hAnsi="Arial"/>
          <w:sz w:val="18"/>
          <w:szCs w:val="18"/>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the related equity securities do not have a readily determinable fair value, are accounted for using the cost method and are included in other assets on the consolidated balance sheets.</w:t>
      </w:r>
    </w:p>
    <w:p>
      <w:pPr>
        <w:spacing w:after="0" w:line="205" w:lineRule="exact"/>
        <w:rPr>
          <w:sz w:val="20"/>
          <w:szCs w:val="20"/>
          <w:color w:val="auto"/>
        </w:rPr>
      </w:pPr>
    </w:p>
    <w:p>
      <w:pPr>
        <w:ind w:right="60" w:firstLine="648"/>
        <w:spacing w:after="0" w:line="250" w:lineRule="auto"/>
        <w:rPr>
          <w:sz w:val="20"/>
          <w:szCs w:val="20"/>
          <w:color w:val="auto"/>
        </w:rPr>
      </w:pPr>
      <w:r>
        <w:rPr>
          <w:rFonts w:ascii="Arial" w:cs="Arial" w:eastAsia="Arial" w:hAnsi="Arial"/>
          <w:sz w:val="18"/>
          <w:szCs w:val="18"/>
          <w:color w:val="auto"/>
        </w:rPr>
        <w:t>Given the current and expected impact of the COVID-19 pandemic on our business we evaluated our liquidity position as of the date of the issuance of these consolidated financial statements. Based on this evaluation, management believes, despite the ongoing impact of COVID-19 on our business, that our financial position, net cash provided by operations combined with our cash and cash</w:t>
      </w:r>
    </w:p>
    <w:p>
      <w:pPr>
        <w:spacing w:after="0" w:line="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equivalents, borrowing availability under our revolving credit facility, and the April 2020 temporary maintenance covenant suspension and capital raise as described in Note 10, will be sufficient to fund our current obligations, capital spending, debt service requirements and working capital requirements over at least the next twelve months.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333"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20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Due to the COVID-19 pandemic, there has been uncertainty and disruption in the global economy and financial markets. Subsequent to June 30, 2020, we are not aware of any specific event or circumstance that would require an update to our estimates or judgments or a revision of the carrying value of our assets or liabilities as of August 11, 2020, the date of issuance of this Annual Report on Form 10-K. These estimates may change as new events occur and additional information is obtained. Actual results could differ materially from these estimates under different assumptions or conditions.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jc w:val="both"/>
        <w:ind w:right="100" w:firstLine="661"/>
        <w:spacing w:after="0" w:line="254"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the equivalent of cash for the purpose of balance sheet and statement of cash flows presentation. Cash equivalents consist of depository accounts and money market funds. Cash and cash equivalents restricted for use were $86 and $87 as of June 30, 2020 and 2019, respectively, and are included in other assets in the accompanying consolidated balance sheets.</w:t>
      </w:r>
    </w:p>
    <w:p>
      <w:pPr>
        <w:spacing w:after="0" w:line="177" w:lineRule="exact"/>
        <w:rPr>
          <w:sz w:val="20"/>
          <w:szCs w:val="20"/>
          <w:color w:val="auto"/>
        </w:rPr>
      </w:pPr>
    </w:p>
    <w:p>
      <w:pPr>
        <w:ind w:right="120" w:firstLine="661"/>
        <w:spacing w:after="0" w:line="252" w:lineRule="auto"/>
        <w:rPr>
          <w:sz w:val="20"/>
          <w:szCs w:val="20"/>
          <w:color w:val="auto"/>
        </w:rPr>
      </w:pPr>
      <w:r>
        <w:rPr>
          <w:rFonts w:ascii="Arial" w:cs="Arial" w:eastAsia="Arial" w:hAnsi="Arial"/>
          <w:sz w:val="18"/>
          <w:szCs w:val="18"/>
          <w:color w:val="auto"/>
        </w:rPr>
        <w:t>For bank accounts that are overdrawn at the end of a reporting period, including any net negative balance in our notional cash pool, we reclassify these overdrafts to short-term debt on our consolidated balance sheets. Book overdrafts that result from outstanding checks in excess of our bank balance are reclassified to other current liabilities. As of June 30, 2020, we reclassified $3,768 to short-term debt within our consolidated balance sheets and presented the overdraw within financing activities in our consolidated statement of cash flows. We did not have a bank overdraw in the prior period. As of June 30, 2020, we did not record a book overdraft, however as of June 30, 2019, we reclassified a book overdraft of $2,144 to other current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0" w:lineRule="exact"/>
        <w:rPr>
          <w:sz w:val="20"/>
          <w:szCs w:val="20"/>
          <w:color w:val="auto"/>
        </w:rPr>
      </w:pPr>
    </w:p>
    <w:p>
      <w:pPr>
        <w:ind w:firstLine="661"/>
        <w:spacing w:after="0" w:line="256" w:lineRule="auto"/>
        <w:rPr>
          <w:sz w:val="20"/>
          <w:szCs w:val="20"/>
          <w:color w:val="auto"/>
        </w:rPr>
      </w:pPr>
      <w:r>
        <w:rPr>
          <w:rFonts w:ascii="Arial" w:cs="Arial" w:eastAsia="Arial" w:hAnsi="Arial"/>
          <w:sz w:val="18"/>
          <w:szCs w:val="18"/>
          <w:color w:val="auto"/>
        </w:rPr>
        <w:t>Accounts receivable includes amounts due from customers. We offset gross trade accounts receivable with an allowance for doubtful accounts, which is our best estimate of the amount of probable credit losses in existing accounts receivable. Account balances are charged off against the allowance when the potential for recovery is no longer reasonably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0" w:lineRule="exact"/>
        <w:rPr>
          <w:sz w:val="20"/>
          <w:szCs w:val="20"/>
          <w:color w:val="auto"/>
        </w:rPr>
      </w:pPr>
    </w:p>
    <w:p>
      <w:pPr>
        <w:ind w:right="220" w:firstLine="661"/>
        <w:spacing w:after="0" w:line="261" w:lineRule="auto"/>
        <w:rPr>
          <w:sz w:val="20"/>
          <w:szCs w:val="20"/>
          <w:color w:val="auto"/>
        </w:rPr>
      </w:pPr>
      <w:r>
        <w:rPr>
          <w:rFonts w:ascii="Arial" w:cs="Arial" w:eastAsia="Arial" w:hAnsi="Arial"/>
          <w:sz w:val="18"/>
          <w:szCs w:val="18"/>
          <w:color w:val="auto"/>
        </w:rPr>
        <w:t>Inventories consist primarily of raw materials and are recorded at the lower of cost or net realizable value using the first-in, first-out method. Costs to produce free products are included in cost of revenues as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0" w:lineRule="exact"/>
        <w:rPr>
          <w:sz w:val="20"/>
          <w:szCs w:val="20"/>
          <w:color w:val="auto"/>
        </w:rPr>
      </w:pPr>
    </w:p>
    <w:p>
      <w:pPr>
        <w:ind w:right="20" w:firstLine="661"/>
        <w:spacing w:after="0" w:line="271" w:lineRule="auto"/>
        <w:rPr>
          <w:sz w:val="20"/>
          <w:szCs w:val="20"/>
          <w:color w:val="auto"/>
        </w:rPr>
      </w:pPr>
      <w:r>
        <w:rPr>
          <w:rFonts w:ascii="Arial" w:cs="Arial" w:eastAsia="Arial" w:hAnsi="Arial"/>
          <w:sz w:val="17"/>
          <w:szCs w:val="17"/>
          <w:color w:val="auto"/>
        </w:rPr>
        <w:t>Property, plant and equipment are stated at cost less accumulated depreciation and amortization. Additions and improvements that substantially extend the useful life of a particular asset are capitalized while repairs and maintenance costs are expensed as incurred. Assets that qualify for the capitalization of interest cost during their construction period are evaluated on a per project basis and, if material, the costs are capitalized. No interest costs associated with our construction projects were capitalized in any of the years presented as the amounts were not material. Depreciation of plant and equipment is recorded on a straight-line basis over the estimated useful lives of the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Web Site Development Costs</w:t>
      </w:r>
    </w:p>
    <w:p>
      <w:pPr>
        <w:spacing w:after="0" w:line="220" w:lineRule="exact"/>
        <w:rPr>
          <w:sz w:val="20"/>
          <w:szCs w:val="20"/>
          <w:color w:val="auto"/>
        </w:rPr>
      </w:pPr>
    </w:p>
    <w:p>
      <w:pPr>
        <w:ind w:right="160" w:firstLine="661"/>
        <w:spacing w:after="0" w:line="261" w:lineRule="auto"/>
        <w:rPr>
          <w:sz w:val="20"/>
          <w:szCs w:val="20"/>
          <w:color w:val="auto"/>
        </w:rPr>
      </w:pPr>
      <w:r>
        <w:rPr>
          <w:rFonts w:ascii="Arial" w:cs="Arial" w:eastAsia="Arial" w:hAnsi="Arial"/>
          <w:sz w:val="18"/>
          <w:szCs w:val="18"/>
          <w:color w:val="auto"/>
        </w:rPr>
        <w:t>We capitalize eligible salaries and payroll-related costs of employees who devote time to the development of websites and internal-use computer software. Capitalization begins when the preliminary project stage 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522" w:right="339" w:bottom="1440" w:gutter="0" w:footer="0" w:header="0"/>
        </w:sectPr>
      </w:pPr>
    </w:p>
    <w:bookmarkStart w:id="68" w:name="page69"/>
    <w:bookmarkEnd w:id="68"/>
    <w:p>
      <w:pPr>
        <w:jc w:val="both"/>
        <w:ind w:right="120"/>
        <w:spacing w:after="0" w:line="254" w:lineRule="auto"/>
        <w:rPr>
          <w:sz w:val="20"/>
          <w:szCs w:val="20"/>
          <w:color w:val="auto"/>
        </w:rPr>
      </w:pPr>
      <w:r>
        <w:rPr>
          <w:rFonts w:ascii="Arial" w:cs="Arial" w:eastAsia="Arial" w:hAnsi="Arial"/>
          <w:sz w:val="18"/>
          <w:szCs w:val="18"/>
          <w:color w:val="auto"/>
        </w:rPr>
        <w:t>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generally over a three year period. Costs associated with preliminary stage software development, repair, maintenance or the development of website content are expensed as incurred.</w:t>
      </w:r>
    </w:p>
    <w:p>
      <w:pPr>
        <w:spacing w:after="0" w:line="159" w:lineRule="exact"/>
        <w:rPr>
          <w:sz w:val="20"/>
          <w:szCs w:val="20"/>
          <w:color w:val="auto"/>
        </w:rPr>
      </w:pPr>
    </w:p>
    <w:p>
      <w:pPr>
        <w:ind w:right="580" w:firstLine="661"/>
        <w:spacing w:after="0" w:line="282" w:lineRule="auto"/>
        <w:rPr>
          <w:sz w:val="20"/>
          <w:szCs w:val="20"/>
          <w:color w:val="auto"/>
        </w:rPr>
      </w:pPr>
      <w:r>
        <w:rPr>
          <w:rFonts w:ascii="Arial" w:cs="Arial" w:eastAsia="Arial" w:hAnsi="Arial"/>
          <w:sz w:val="18"/>
          <w:szCs w:val="18"/>
          <w:color w:val="auto"/>
        </w:rPr>
        <w:t>Amortization of previously capitalized amounts in the years ended June 30, 2020, 2019 and 2018 was $40,753</w:t>
      </w:r>
      <w:r>
        <w:rPr>
          <w:rFonts w:ascii="Arial" w:cs="Arial" w:eastAsia="Arial" w:hAnsi="Arial"/>
          <w:sz w:val="18"/>
          <w:szCs w:val="18"/>
          <w:i w:val="1"/>
          <w:iCs w:val="1"/>
          <w:color w:val="auto"/>
        </w:rPr>
        <w:t>,</w:t>
      </w:r>
      <w:r>
        <w:rPr>
          <w:rFonts w:ascii="Arial" w:cs="Arial" w:eastAsia="Arial" w:hAnsi="Arial"/>
          <w:sz w:val="18"/>
          <w:szCs w:val="18"/>
          <w:color w:val="auto"/>
        </w:rPr>
        <w:t xml:space="preserve"> $35,068 and $31,332, respectively, resulting in accumulated amortization of $180,993 and $136,721 at June 30, 2020 and 2019,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0" w:lineRule="exact"/>
        <w:rPr>
          <w:sz w:val="20"/>
          <w:szCs w:val="20"/>
          <w:color w:val="auto"/>
        </w:rPr>
      </w:pPr>
    </w:p>
    <w:p>
      <w:pPr>
        <w:jc w:val="both"/>
        <w:ind w:right="80" w:firstLine="661"/>
        <w:spacing w:after="0" w:line="256" w:lineRule="auto"/>
        <w:rPr>
          <w:sz w:val="20"/>
          <w:szCs w:val="20"/>
          <w:color w:val="auto"/>
        </w:rPr>
      </w:pPr>
      <w:r>
        <w:rPr>
          <w:rFonts w:ascii="Arial" w:cs="Arial" w:eastAsia="Arial" w:hAnsi="Arial"/>
          <w:sz w:val="18"/>
          <w:szCs w:val="18"/>
          <w:color w:val="auto"/>
        </w:rPr>
        <w:t>We capitalize the costs of purchasing patents from unrelated third parties and amortize these costs over the estimated useful life of the patent. The costs related to patent applications, pursuing others who we believe infringe on our patents, and defending against patent-infringement claims are expensed as incurred.</w:t>
      </w:r>
    </w:p>
    <w:p>
      <w:pPr>
        <w:spacing w:after="0" w:line="215" w:lineRule="exact"/>
        <w:rPr>
          <w:sz w:val="20"/>
          <w:szCs w:val="20"/>
          <w:color w:val="auto"/>
        </w:rPr>
      </w:pPr>
    </w:p>
    <w:p>
      <w:pPr>
        <w:ind w:firstLine="661"/>
        <w:spacing w:after="0" w:line="251" w:lineRule="auto"/>
        <w:rPr>
          <w:sz w:val="20"/>
          <w:szCs w:val="20"/>
          <w:color w:val="auto"/>
        </w:rPr>
      </w:pPr>
      <w:r>
        <w:rPr>
          <w:rFonts w:ascii="Arial" w:cs="Arial" w:eastAsia="Arial" w:hAnsi="Arial"/>
          <w:sz w:val="18"/>
          <w:szCs w:val="18"/>
          <w:color w:val="auto"/>
        </w:rPr>
        <w:t>We record acquired intangible assets at fair value on the date of acquisition using the income approach to value the trade names, customer relationships and customer network and a replacement cost approach to value developed technology and our print network. The income approach calculates fair value by discounting the forecasted after-tax cash flows back to a present value using an appropriate discount rate. The baseline data for this analysis was the cash flow estimates used to price the transaction. We amortize such assets using the straight-line method over the expected useful life of the asset, unless another amortization method is deemed to be more appropriate. In estimating the useful life of the acquired assets, we reviewed the expected use of the assets acquired, factors that may limit the useful life of an acquired asset or may enable the extension of the useful life of an acquired asset without substantial cost, the effects of obsolescence, demand, competition and other economic factors, and the level of maintenance expenditures required to obtain the expected future cash flows from the asset.</w:t>
      </w:r>
    </w:p>
    <w:p>
      <w:pPr>
        <w:spacing w:after="0" w:line="185" w:lineRule="exact"/>
        <w:rPr>
          <w:sz w:val="20"/>
          <w:szCs w:val="20"/>
          <w:color w:val="auto"/>
        </w:rPr>
      </w:pPr>
    </w:p>
    <w:p>
      <w:pPr>
        <w:jc w:val="both"/>
        <w:ind w:right="520" w:firstLine="661"/>
        <w:spacing w:after="0" w:line="256" w:lineRule="auto"/>
        <w:rPr>
          <w:sz w:val="20"/>
          <w:szCs w:val="20"/>
          <w:color w:val="auto"/>
        </w:rPr>
      </w:pPr>
      <w:r>
        <w:rPr>
          <w:rFonts w:ascii="Arial" w:cs="Arial" w:eastAsia="Arial" w:hAnsi="Arial"/>
          <w:sz w:val="18"/>
          <w:szCs w:val="18"/>
          <w:color w:val="auto"/>
        </w:rPr>
        <w:t>We evaluate the remaining useful life of intangible assets on a periodic basis to determine whether events and circumstances warrant a revision to the remaining useful life. If the estimate of an intangible asset’s remaining useful life is changed, we amortize the remaining carrying value of the intangible asset prospectively over the revised remaining useful life.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Long-lived assets with a finite life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We did not recognize any impairment or abandonment charges for acquired intangible assets in any of the periods presented.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recognize the assets acquired and liabilities assumed in business combinations on the basis of their fair values at the date of acquisition. We assess the fair value of assets, including intangible assets, using a variety of methods and each asset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Assets acquired that are determined to not have economic use for us are expensed immediately. Any excess purchase price over the fair value of the net tangible and intangible assets acquired is allocated to goodwill. Transaction costs and restructuring costs associated with a business combination are expensed as incurred.</w:t>
      </w:r>
    </w:p>
    <w:p>
      <w:pPr>
        <w:spacing w:after="0" w:line="180"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For acquisitions that qualify as business combinations, we record an obligation for such contingent payments at fair value on the acquisition date.</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544"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Goodwill</w:t>
      </w:r>
    </w:p>
    <w:p>
      <w:pPr>
        <w:spacing w:after="0" w:line="207" w:lineRule="exact"/>
        <w:rPr>
          <w:sz w:val="20"/>
          <w:szCs w:val="20"/>
          <w:color w:val="auto"/>
        </w:rPr>
      </w:pPr>
    </w:p>
    <w:p>
      <w:pPr>
        <w:ind w:right="120" w:firstLine="661"/>
        <w:spacing w:after="0" w:line="252" w:lineRule="auto"/>
        <w:rPr>
          <w:sz w:val="20"/>
          <w:szCs w:val="20"/>
          <w:color w:val="auto"/>
        </w:rPr>
      </w:pPr>
      <w:r>
        <w:rPr>
          <w:rFonts w:ascii="Arial" w:cs="Arial" w:eastAsia="Arial" w:hAnsi="Arial"/>
          <w:sz w:val="18"/>
          <w:szCs w:val="18"/>
          <w:color w:val="auto"/>
        </w:rPr>
        <w:t>The evaluation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should be aggregated as one reporting unit due to their similarity or reviewed individually. Goodwill is evaluated for impairment on an annual basis or more frequently when an event occurs or circumstances change that indicate that the carrying value may not be recoverable. Goodwill is considered to be impaired when the carrying amount of a reporting unit exceeds its estimated fair value.</w:t>
      </w:r>
    </w:p>
    <w:p>
      <w:pPr>
        <w:spacing w:after="0" w:line="20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the option to first assess qualitative factors to determine whether it is more likely than not that the fair value of a reporting unit is less than its carrying value. If the results of this analysis indicate that the fair value of a reporting unit is less than its carrying value, the quantitative impairment test is required; otherwise, no further assessment is necessary. To perform the quantitative approach, we estimate the fair value of our reporting units using a discounted cash flow methodology. If the carrying value of a reporting unit’s goodwill exceeds its implied fair value, then we record an impairment loss equal to the difference. Refer to Note 8 for additional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4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Costs associated with the issuance of debt instruments are capitalized and amortized over the term of the respective financing arrangement on a straight-line basis through the maturity date of the related debt instrument. We evaluate all changes to our debt arrangements, to determine whether the changes represent a modification or extinguishment to the old debt arrangement. If a debt instrument is deemed to be modified, we capitalize all new lenders fees and expense all third-party fees. If we determine that an extinguishment of one of our debt instruments has occurred, the unamortized financing fees associated with the extinguished instrument are expensed. For the revolving loans associated with our senior secured credit facility, all lender and third-party fees are capitalized, and in the event the amendment reduces the committed capacity under the revolving loans, we expense a portion of any unamortized fees on a pro-rata basis in proportion to the decrease in the committed capacity.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record all derivatives on the consolidated balance sheet at fair value. We apply hedge accounting to arrangements that qualify and are designated for hedge accounting treatment, which includes cash flow and net investment hedges. Hedge accounting is discontinued prospectively if the hedging relationship ceases to be effective or the hedging or hedged items cease to exist as a result of maturity, sale, termination or cancellation.</w:t>
      </w:r>
    </w:p>
    <w:p>
      <w:pPr>
        <w:spacing w:after="0" w:line="204"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Derivatives designated and qualifying as hedges of the exposure to variability in expected future cash flows, or other types of forecasted transactions, are considered cash flow hedges which could include interest rate swap contracts and cross-currency swap contracts. In a cash flow hedging relationship, the effective and ineffective portion of the change in the fair value of the hedging derivative is initially recorded in accumulated other comprehensive loss. The portion of gain or loss on the derivative instrument previously recorded in accumulated other comprehensive (loss) income remains in accumulated other comprehensive (loss) income until the forecasted transaction is recognized in earnings. For derivatives designated as cash flow hedges, we present the settlement amount of these contracts within cash from investing activities in our consolidated statement of cash flows, if the hedged item continues after contract settlement.</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Derivatives designated and qualifying as hedges of currency exposure of a net investment in a foreign operation are considered net investment hedges which could include cross-currency swap and currency forward contracts. In hedging the currency exposure of a net investment in a foreign operation, the effective and ineffective portion of gains and losses on the hedging instruments is recognized in accumulated other comprehensive (loss) income as part of currency translation adjustment. The portion of gain or loss on the derivative instrument previously recorded in accumulated other comprehensive (loss) income remains in accumulated other comprehensive (loss) income until we reduce our investment in the hedged foreign operation through a sale or substantial liquidation.</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also enter into derivative contracts that are intended to economically hedge certain of our risks, even though we may not elect to apply hedge accounting or the instrument may not qualify for hedge accounting. When hedge accounting is not applied, the changes in the fair value of the derivatives are recorded directly in earnings as a component of other (expense) income, net.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522" w:right="339" w:bottom="1440" w:gutter="0" w:footer="0" w:header="0"/>
        </w:sectPr>
      </w:pPr>
    </w:p>
    <w:bookmarkStart w:id="70" w:name="page71"/>
    <w:bookmarkEnd w:id="70"/>
    <w:p>
      <w:pPr>
        <w:jc w:val="both"/>
        <w:ind w:firstLine="648"/>
        <w:spacing w:after="0" w:line="256" w:lineRule="auto"/>
        <w:rPr>
          <w:sz w:val="20"/>
          <w:szCs w:val="20"/>
          <w:color w:val="auto"/>
        </w:rPr>
      </w:pPr>
      <w:r>
        <w:rPr>
          <w:rFonts w:ascii="Arial" w:cs="Arial" w:eastAsia="Arial" w:hAnsi="Arial"/>
          <w:sz w:val="18"/>
          <w:szCs w:val="18"/>
          <w:color w:val="auto"/>
        </w:rPr>
        <w:t>In accordance with the fair value measurement guidance, our accounting policy is to measure the credit risk of our derivative financial instruments that are subject to master netting agreements on a net basis by counterparty portfolio. We execute our derivative instruments with financial institutions that we judge to be credit-worthy, defined as institutions that hold an investment grade credit rating.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Mandatorily Redeemable Noncontrolling Interest</w:t>
      </w:r>
    </w:p>
    <w:p>
      <w:pPr>
        <w:spacing w:after="0" w:line="24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Noncontrolling interests held by third parties in consolidated subsidiaries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are to be redeemed via the transfer of assets. Mandatorily redeemable noncontrolling interests are presented as liability-based financial instruments and are re-measured on a recurring basis to the expected redemption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(Deficit)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from non-owner sources. Comprehensive income (loss) is composed of net income, unrealized gains and losses on derivatives, unrealized loss on pension benefit obligation, and cumulative foreign currency translation adjustments, which are included in the accompanying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47" w:lineRule="exact"/>
        <w:rPr>
          <w:sz w:val="20"/>
          <w:szCs w:val="20"/>
          <w:color w:val="auto"/>
        </w:rPr>
      </w:pPr>
    </w:p>
    <w:p>
      <w:pPr>
        <w:jc w:val="both"/>
        <w:ind w:right="440" w:firstLine="648"/>
        <w:spacing w:after="0" w:line="256" w:lineRule="auto"/>
        <w:rPr>
          <w:sz w:val="20"/>
          <w:szCs w:val="20"/>
          <w:color w:val="auto"/>
        </w:rPr>
      </w:pPr>
      <w:r>
        <w:rPr>
          <w:rFonts w:ascii="Arial" w:cs="Arial" w:eastAsia="Arial" w:hAnsi="Arial"/>
          <w:sz w:val="18"/>
          <w:szCs w:val="18"/>
          <w:color w:val="auto"/>
        </w:rPr>
        <w:t>Treasury shares are accounted for using the cost method and are included as a component of shareholders' equity. We reissue treasury shares as part of our share-based compensation programs and as consideration for some of our acquisition transactions. Upon issuance of treasury shares we determine the cost using the average cost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During the fourth quarter of 2020, we issued warrants in conjunction with the issuance of second lien debt. The warrants are legally detachable from the debt and settleable only in our shares. We account for the warrants in accordance with ASC 470-20, Debt with Conversion and Other Options, which requires us to bifurcate and separately account for the detachable warrant as a separate equity instrument. The value assigned to the warrants was determined based on a relative fair value allocation between the warrants and related debt. The fair value of the warrants was determined using a Monte Carlo valuation and applying a discount for the lack of marketability for the warrants. We present the allocated value for the warrants within additional paid-in capital in our consolidated balance sheet. Refer to Note 10 for additional details related to the refinancing.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is transferred to the customer.</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04" w:lineRule="exact"/>
        <w:rPr>
          <w:sz w:val="20"/>
          <w:szCs w:val="20"/>
          <w:color w:val="auto"/>
        </w:rPr>
      </w:pPr>
    </w:p>
    <w:p>
      <w:pPr>
        <w:ind w:right="680" w:firstLine="648"/>
        <w:spacing w:after="0" w:line="261"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55" w:right="339" w:bottom="1440" w:gutter="0" w:footer="0" w:header="0"/>
        </w:sectPr>
      </w:pPr>
    </w:p>
    <w:bookmarkStart w:id="71" w:name="page72"/>
    <w:bookmarkEnd w:id="71"/>
    <w:p>
      <w:pPr>
        <w:ind w:right="160"/>
        <w:spacing w:after="0" w:line="252" w:lineRule="auto"/>
        <w:rPr>
          <w:sz w:val="20"/>
          <w:szCs w:val="20"/>
          <w:color w:val="auto"/>
        </w:rPr>
      </w:pPr>
      <w:r>
        <w:rPr>
          <w:rFonts w:ascii="Arial" w:cs="Arial" w:eastAsia="Arial" w:hAnsi="Arial"/>
          <w:sz w:val="18"/>
          <w:szCs w:val="18"/>
          <w:color w:val="auto"/>
        </w:rPr>
        <w:t>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208"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20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occurs shortly after cash payment and we expect to recognize our deferred revenue balance as revenue within three months subsequent to June 30, 2020.</w:t>
      </w:r>
    </w:p>
    <w:p>
      <w:pPr>
        <w:spacing w:after="0" w:line="20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205"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We have elected to expense incremental direct costs as incurred, which primarily includes sales commissions, since our contract periods generally are less than one year and the related performance obligations are satisfied within a short period of time. Additional revenue disaggregation disclosure requirements resulting from the adoption of ASC 606 are included in Note 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Restructuring costs are recorded in connection with initiatives designed to improve efficiency or enhance competitiveness. Restructuring initiatives require us to make estimates in several areas, including expenses for severance and other employee separation costs and our ability to generate sublease income to enable us to terminate lease obligations at the estimated amounts. One-time termination benefits are expensed at the date we notify the employee, unless the employee must provide future service beyond the statutory minimum retention period, in which case the benefits are expensed ratably over the future service period. Liabilities for costs associated with a facility exit or disposal activity are recognized when the liability is incurred, as opposed to when management commits to an exit plan, and are measured at fair value. Restructuring costs are presented as a separate financial statement line within our consolidated statement of operations.</w:t>
      </w:r>
    </w:p>
    <w:p>
      <w:pPr>
        <w:spacing w:after="0" w:line="20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For jurisdictions in which there are statutorily required minimum benefits for involuntary terminations, or severance benefits documented in an employee manual or labor contract, we evaluate these benefits under ASC 712 as ongoing benefit arrangements. We recognize the liability for these arrangements when it is probable that the employee would be entitled to the benefits and the amounts can be reasonably estimated.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4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advertising costs are primarily expensed as incurred and included in marketing and selling expense. Advertising expense for the years ended June 30, 2020, 2019 and 2018 was $302,449, $427,673, and $432,546, respectively, which consisted of external costs related to customer acquisition and retention marketing campaigns.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4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Research and development costs are expensed as incurred and included in technology and development expense. Research and development expense for the years ended June 30, 2020, 2019 and 2018 was $49,201, $40,976, and $41,451, respectively, which consisted of costs related to enhancing our manufacturing engineering and technology capabilities.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5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As part of the process of preparing our consolidated financial statements, we calculate our income taxes in each of the jurisdictions in which we operate. This process involves estimating our current tax expense and deferred tax expense based on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0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the taxing authorities, based on the technical merits of the tax position. The tax benefits recognized in our financial statements from such positions are measured as the largest benefit that has a greater than 50% likelihood of being realized upon ultimate resolution. The unrecognized tax benefits will reduce our effective tax rate if recognized. Interest and, if applicable, penalties related to unrecognized tax benefits are recorded in the provision for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47"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income (expense), net in our consolidated statements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Year Ended June 30,</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r>
      <w:tr>
        <w:trPr>
          <w:trHeight w:val="256"/>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on derivatives not designated as hedging instruments (1)</w:t>
            </w:r>
          </w:p>
        </w:tc>
        <w:tc>
          <w:tcPr>
            <w:tcW w:w="96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23,494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r>
      <w:tr>
        <w:trPr>
          <w:trHeight w:val="260"/>
        </w:trPr>
        <w:tc>
          <w:tcPr>
            <w:tcW w:w="6300" w:type="dxa"/>
            <w:vAlign w:val="bottom"/>
          </w:tcPr>
          <w:p>
            <w:pPr>
              <w:ind w:left="40"/>
              <w:spacing w:after="0"/>
              <w:rPr>
                <w:sz w:val="20"/>
                <w:szCs w:val="20"/>
                <w:color w:val="auto"/>
              </w:rPr>
            </w:pPr>
            <w:r>
              <w:rPr>
                <w:rFonts w:ascii="Arial" w:cs="Arial" w:eastAsia="Arial" w:hAnsi="Arial"/>
                <w:sz w:val="16"/>
                <w:szCs w:val="16"/>
                <w:color w:val="auto"/>
              </w:rPr>
              <w:t>Currency-related gains (losses), net (2)</w:t>
            </w:r>
          </w:p>
        </w:tc>
        <w:tc>
          <w:tcPr>
            <w:tcW w:w="96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25"/>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(19,500)</w:t>
            </w:r>
          </w:p>
        </w:tc>
      </w:tr>
      <w:tr>
        <w:trPr>
          <w:trHeight w:val="273"/>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9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1,155</w:t>
            </w:r>
          </w:p>
        </w:tc>
      </w:tr>
      <w:tr>
        <w:trPr>
          <w:trHeight w:val="240"/>
        </w:trPr>
        <w:tc>
          <w:tcPr>
            <w:tcW w:w="6300" w:type="dxa"/>
            <w:vAlign w:val="bottom"/>
          </w:tcPr>
          <w:p>
            <w:pPr>
              <w:ind w:left="40"/>
              <w:spacing w:after="0"/>
              <w:rPr>
                <w:sz w:val="20"/>
                <w:szCs w:val="20"/>
                <w:color w:val="auto"/>
              </w:rPr>
            </w:pPr>
            <w:r>
              <w:rPr>
                <w:rFonts w:ascii="Arial" w:cs="Arial" w:eastAsia="Arial" w:hAnsi="Arial"/>
                <w:sz w:val="16"/>
                <w:szCs w:val="16"/>
                <w:color w:val="auto"/>
              </w:rPr>
              <w:t>Total other income (expense), net</w:t>
            </w:r>
          </w:p>
        </w:tc>
        <w:tc>
          <w:tcPr>
            <w:tcW w:w="9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22,874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26,476</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(21,032)</w:t>
            </w:r>
          </w:p>
        </w:tc>
      </w:tr>
      <w:tr>
        <w:trPr>
          <w:trHeight w:val="20"/>
        </w:trPr>
        <w:tc>
          <w:tcPr>
            <w:tcW w:w="6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5" w:lineRule="exact"/>
        <w:rPr>
          <w:sz w:val="20"/>
          <w:szCs w:val="20"/>
          <w:color w:val="auto"/>
        </w:rPr>
      </w:pPr>
    </w:p>
    <w:p>
      <w:pPr>
        <w:ind w:left="260" w:right="60" w:hanging="252"/>
        <w:spacing w:after="0" w:line="258" w:lineRule="auto"/>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Primarily relates to both realized and unrealized gains on derivative currency forward and option contracts not designated as hedging instruments, as well as certain interest rate swap contracts that have been de-designated from hedge accounting due to their ineffectiveness.</w:t>
      </w:r>
    </w:p>
    <w:p>
      <w:pPr>
        <w:spacing w:after="0" w:line="58" w:lineRule="exact"/>
        <w:rPr>
          <w:rFonts w:ascii="Arial" w:cs="Arial" w:eastAsia="Arial" w:hAnsi="Arial"/>
          <w:sz w:val="14"/>
          <w:szCs w:val="14"/>
          <w:color w:val="auto"/>
        </w:rPr>
      </w:pPr>
    </w:p>
    <w:p>
      <w:pPr>
        <w:ind w:left="260" w:right="60" w:hanging="252"/>
        <w:spacing w:after="0" w:line="245" w:lineRule="auto"/>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have significant non-functional currency intercompany financing relationships that we may change at times and are subject to currency exchange rate volatility. The currency-related gains (losses), net for the years ended June 30, 2020, 2019 and 2018 are primarily driven by this intercompany activity. In addition, we have certain cross-currency swaps designated as cash flow hedges, which hedge the remeasurement of certain intercompany loans, both presented in the same component above. The unrealized gain related to cross-currency swaps was $929 for the year ended June 30, 2020 as compared to an unrealized loss of $3,484 for the year ended June 30, 2019, and an unrealized gain of $2,722 for the year ended June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 Attributable to Cimpress plc</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Basic net income per share attributable to Cimpress plc is computed by dividing net income attributable to Cimpress plc by the weighted-average number of ordinary shares outstanding for the respective period. Diluted net income per share attributable to Cimpress plc gives effect to all potentially dilutive securities, including share options, restricted share units (“RSUs”), restricted share awards ("RSAs"),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33"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0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Year Ended June 30,</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jc w:val="right"/>
              <w:ind w:right="885"/>
              <w:spacing w:after="0"/>
              <w:rPr>
                <w:sz w:val="20"/>
                <w:szCs w:val="20"/>
                <w:color w:val="auto"/>
              </w:rPr>
            </w:pPr>
            <w:r>
              <w:rPr>
                <w:rFonts w:ascii="Arial" w:cs="Arial" w:eastAsia="Arial" w:hAnsi="Arial"/>
                <w:sz w:val="13"/>
                <w:szCs w:val="13"/>
                <w:b w:val="1"/>
                <w:bCs w:val="1"/>
                <w:color w:val="auto"/>
              </w:rPr>
              <w:t>2019</w:t>
            </w:r>
          </w:p>
        </w:tc>
        <w:tc>
          <w:tcPr>
            <w:tcW w:w="136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basic</w:t>
            </w:r>
          </w:p>
        </w:tc>
        <w:tc>
          <w:tcPr>
            <w:tcW w:w="16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27,180,744</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345"/>
              <w:spacing w:after="0"/>
              <w:rPr>
                <w:sz w:val="20"/>
                <w:szCs w:val="20"/>
                <w:color w:val="auto"/>
              </w:rPr>
            </w:pPr>
            <w:r>
              <w:rPr>
                <w:rFonts w:ascii="Arial" w:cs="Arial" w:eastAsia="Arial" w:hAnsi="Arial"/>
                <w:sz w:val="16"/>
                <w:szCs w:val="16"/>
                <w:color w:val="auto"/>
              </w:rPr>
              <w:t>30,786,349</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30,948,081</w:t>
            </w:r>
          </w:p>
        </w:tc>
        <w:tc>
          <w:tcPr>
            <w:tcW w:w="0" w:type="dxa"/>
            <w:vAlign w:val="bottom"/>
          </w:tcPr>
          <w:p>
            <w:pPr>
              <w:spacing w:after="0"/>
              <w:rPr>
                <w:sz w:val="1"/>
                <w:szCs w:val="1"/>
                <w:color w:val="auto"/>
              </w:rPr>
            </w:pPr>
          </w:p>
        </w:tc>
      </w:tr>
      <w:tr>
        <w:trPr>
          <w:trHeight w:val="218"/>
        </w:trPr>
        <w:tc>
          <w:tcPr>
            <w:tcW w:w="6300" w:type="dxa"/>
            <w:vAlign w:val="bottom"/>
          </w:tcPr>
          <w:p>
            <w:pPr>
              <w:ind w:left="40"/>
              <w:spacing w:after="0"/>
              <w:rPr>
                <w:sz w:val="20"/>
                <w:szCs w:val="20"/>
                <w:color w:val="auto"/>
              </w:rPr>
            </w:pPr>
            <w:r>
              <w:rPr>
                <w:rFonts w:ascii="Arial" w:cs="Arial" w:eastAsia="Arial" w:hAnsi="Arial"/>
                <w:sz w:val="16"/>
                <w:szCs w:val="16"/>
                <w:color w:val="auto"/>
              </w:rPr>
              <w:t>Weighted average shares issuable upon exercise/vesting of outstanding share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options/PSUs/RSUs/RSAs/warrants (1)</w:t>
            </w:r>
          </w:p>
        </w:tc>
        <w:tc>
          <w:tcPr>
            <w:tcW w:w="16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592,542</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color w:val="auto"/>
              </w:rPr>
              <w:t>876,356</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1,272,320</w:t>
            </w:r>
          </w:p>
        </w:tc>
        <w:tc>
          <w:tcPr>
            <w:tcW w:w="0" w:type="dxa"/>
            <w:vAlign w:val="bottom"/>
          </w:tcPr>
          <w:p>
            <w:pPr>
              <w:spacing w:after="0"/>
              <w:rPr>
                <w:sz w:val="1"/>
                <w:szCs w:val="1"/>
                <w:color w:val="auto"/>
              </w:rPr>
            </w:pPr>
          </w:p>
        </w:tc>
      </w:tr>
      <w:tr>
        <w:trPr>
          <w:trHeight w:val="24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computing diluted net income per share attributable to Cimpress plc</w:t>
            </w:r>
          </w:p>
        </w:tc>
        <w:tc>
          <w:tcPr>
            <w:tcW w:w="16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27,773,286</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6"/>
                <w:szCs w:val="16"/>
                <w:color w:val="auto"/>
              </w:rPr>
              <w:t>31,662,705</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32,220,401</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6"/>
                <w:szCs w:val="16"/>
                <w:color w:val="auto"/>
              </w:rPr>
              <w:t>Weighted average anti-dilutive shares excluded from diluted net income per share</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300" w:type="dxa"/>
            <w:vAlign w:val="bottom"/>
          </w:tcPr>
          <w:p>
            <w:pPr>
              <w:ind w:left="40"/>
              <w:spacing w:after="0"/>
              <w:rPr>
                <w:sz w:val="20"/>
                <w:szCs w:val="20"/>
                <w:color w:val="auto"/>
              </w:rPr>
            </w:pPr>
            <w:r>
              <w:rPr>
                <w:rFonts w:ascii="Arial" w:cs="Arial" w:eastAsia="Arial" w:hAnsi="Arial"/>
                <w:sz w:val="16"/>
                <w:szCs w:val="16"/>
                <w:color w:val="auto"/>
              </w:rPr>
              <w:t>attributable to Cimpress plc</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6"/>
                <w:szCs w:val="16"/>
                <w:color w:val="auto"/>
              </w:rPr>
            </w:pPr>
          </w:p>
        </w:tc>
        <w:tc>
          <w:tcPr>
            <w:tcW w:w="188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5" w:lineRule="exact"/>
        <w:rPr>
          <w:sz w:val="20"/>
          <w:szCs w:val="20"/>
          <w:color w:val="auto"/>
        </w:rPr>
      </w:pPr>
    </w:p>
    <w:p>
      <w:pPr>
        <w:ind w:left="260" w:right="160" w:hanging="252"/>
        <w:spacing w:after="0" w:line="249" w:lineRule="auto"/>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with Apollo Global Management, Inc., which included 7-year warrants with a strike price of $60 that have a potentially dilutive impact on our weighted average shares outstanding. For the year ended June 30, 2020, the weighted average dilutive effect of the warrants was 73,719 shares. Refer to Note 10 for additional details about the arrangement.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Compensation expense for all share-based awards is measured at fair value on the date of grant and recognized over the requisite service period. We recognize the impact of forfeitures as they occur. The fair value of share options is determined using the Black-Scholes valuation model, or lattice model for share options with a market condition or subsidiary share options. The fair value of RSUs and RSAs is determined based on the quoted price of our ordinary shares on the date of the grant. Such value is recognized ratably as expense over the requisite service period, or on an accelerated method for awards with a performance or market condition. For awards that are ultimately settleable in cash, we treat them as liability awards and mark the award to market each reporting period recognizing any gain or loss in our statements of operations. For awards with a performance condition vesting feature, compensation cost is recorded if it is probable that the performance condition will be achieved.</w:t>
      </w:r>
    </w:p>
    <w:p>
      <w:pPr>
        <w:spacing w:after="0" w:line="20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We have issued performance share units, or PSUs, which are estimated at fair value on the date of grant, which is fixed throughout the vesting period. The fair value is determined using a Monte Carlo simulation valuation model. As the PSUs include both a service and market condition the related expense is recognized using the accelerated expense attribution method over the requisite service period for each separately vesting portion of the award. For PSUs that meet the service vesting condition, the expense recognized over the requisite service period will not be reversed if the market condition is not achieved.</w:t>
      </w:r>
    </w:p>
    <w:p>
      <w:pPr>
        <w:spacing w:after="0" w:line="20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addition to a service vesting and market condition (based on the three year moving average of the Cimpress share price) contained in our standard performance share units, we also issue awards that contain financial performance conditions. These awards with a discretionary performance condition are subject to mark-to-market accounting throughout the performance vesting period. The compensation expense for these awards is estimated at fair value using a Monte Carlo simulation valuation model and compensation costs are recorded only if it is probable that the performance condition will be achieved. We are required to reassess the probability each reporting period. If we determine the awards are not probable at some point during the performance vesting period we would reverse any expense recognized to date.</w:t>
      </w:r>
    </w:p>
    <w:p>
      <w:pPr>
        <w:spacing w:after="0" w:line="180"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Total share-based compensation expense was $34,874, $21,716 and $50,466 for the years ended June 30, 2020, 2019 and 2018,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Sabbatical Leave</w:t>
      </w:r>
    </w:p>
    <w:p>
      <w:pPr>
        <w:spacing w:after="0" w:line="24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Compensation expense associated with a sabbatical leave, or other similar benefit arrangements, is accrued over the requisite service period during which an employee earns the benefit, net of estimated forfeitures, and is included in other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57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4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We monitor the creditworthiness of our customers to which we grant credit terms in the normal course of business. We do not have any customers that accounted for greater than 10% of our accounts receivable as of June 30, 2020 and 2019. We do not have any customers that accounted for greater than 10% of our revenue for the years ended June 30, 2020, 2019 and 2018.</w:t>
      </w:r>
    </w:p>
    <w:p>
      <w:pPr>
        <w:spacing w:after="0" w:line="202" w:lineRule="exact"/>
        <w:rPr>
          <w:sz w:val="20"/>
          <w:szCs w:val="20"/>
          <w:color w:val="auto"/>
        </w:rPr>
      </w:pPr>
    </w:p>
    <w:p>
      <w:pPr>
        <w:ind w:right="420" w:firstLine="648"/>
        <w:spacing w:after="0" w:line="261" w:lineRule="auto"/>
        <w:rPr>
          <w:sz w:val="20"/>
          <w:szCs w:val="20"/>
          <w:color w:val="auto"/>
        </w:rPr>
      </w:pPr>
      <w:r>
        <w:rPr>
          <w:rFonts w:ascii="Arial" w:cs="Arial" w:eastAsia="Arial" w:hAnsi="Arial"/>
          <w:sz w:val="18"/>
          <w:szCs w:val="18"/>
          <w:color w:val="auto"/>
        </w:rPr>
        <w:t>We maintain an allowance for doubtful accounts for potential credit losses based upon specific customer accounts and historical trends, and such losses to date in the aggregate have not materially exceeded our expectations.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Accounting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 adoption of ASC 842</w:t>
      </w:r>
    </w:p>
    <w:p>
      <w:pPr>
        <w:spacing w:after="0" w:line="24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July 1, 2019, we adopted ASC 842, Leases, using a modified retrospective transition approach. Under the modified retrospective approach, we recognized any cumulative impacts as of the adoption date within retained earnings on our consolidated balance sheet. We did not adjust the prior comparable period. Additionally, as part of our transition, we elected several practical expedients that streamlined the transition to the new guidance whereby we did not reassess the following:</w:t>
      </w:r>
    </w:p>
    <w:p>
      <w:pPr>
        <w:spacing w:after="0" w:line="20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 lease under the prior standard continues to meet the definition of a lease under the new standard;</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the application of the new standard would have an impact on the classification of our existing leases, with the exception of our build-to-suit leases; and</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existence of any initial direct costs associated with our leases.</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We also elected the practical expedient to account for our lease components as a single lease component rather than separating them into lease and nonlease components, which would have resulted in recognizing only the lease components in the measurement of our lease assets and liabilities. This expedient was applied to all underlying classes of assets we lease.</w:t>
      </w:r>
    </w:p>
    <w:p>
      <w:pPr>
        <w:spacing w:after="0" w:line="20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We elected the short-term lease exception policy, permitting us to not apply the recognition requirements of ASC 842 to short-term leases, which are defined as leases with a term of twelve months or less. Short-term leases are not recorded on our consolidated balance sheet and are expensed on a straight-line basis over the lease term in our consolidated statement of operations. We determine the lease term by including the exercise of renewal options that are considered reasonably certain at lease inception.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cumulative effect of adopting the new lease standard as of the adoption date of July 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Balance Sheet</w:t>
            </w:r>
          </w:p>
        </w:tc>
        <w:tc>
          <w:tcPr>
            <w:tcW w:w="260" w:type="dxa"/>
            <w:vAlign w:val="bottom"/>
          </w:tcPr>
          <w:p>
            <w:pPr>
              <w:spacing w:after="0"/>
              <w:rPr>
                <w:sz w:val="14"/>
                <w:szCs w:val="14"/>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reported at</w:t>
            </w:r>
          </w:p>
        </w:tc>
        <w:tc>
          <w:tcPr>
            <w:tcW w:w="140" w:type="dxa"/>
            <w:vAlign w:val="bottom"/>
          </w:tcPr>
          <w:p>
            <w:pPr>
              <w:spacing w:after="0"/>
              <w:rPr>
                <w:sz w:val="14"/>
                <w:szCs w:val="14"/>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ASC 842 adjustments</w:t>
            </w:r>
          </w:p>
        </w:tc>
        <w:tc>
          <w:tcPr>
            <w:tcW w:w="160" w:type="dxa"/>
            <w:vAlign w:val="bottom"/>
          </w:tcPr>
          <w:p>
            <w:pPr>
              <w:spacing w:after="0"/>
              <w:rPr>
                <w:sz w:val="14"/>
                <w:szCs w:val="14"/>
                <w:color w:val="auto"/>
              </w:rPr>
            </w:pPr>
          </w:p>
        </w:tc>
        <w:tc>
          <w:tcPr>
            <w:tcW w:w="1640" w:type="dxa"/>
            <w:vAlign w:val="bottom"/>
          </w:tcPr>
          <w:p>
            <w:pPr>
              <w:jc w:val="right"/>
              <w:ind w:right="161"/>
              <w:spacing w:after="0"/>
              <w:rPr>
                <w:sz w:val="20"/>
                <w:szCs w:val="20"/>
                <w:color w:val="auto"/>
              </w:rPr>
            </w:pPr>
            <w:r>
              <w:rPr>
                <w:rFonts w:ascii="Arial" w:cs="Arial" w:eastAsia="Arial" w:hAnsi="Arial"/>
                <w:sz w:val="14"/>
                <w:szCs w:val="14"/>
                <w:b w:val="1"/>
                <w:bCs w:val="1"/>
                <w:color w:val="auto"/>
              </w:rPr>
              <w:t>Adjusted balance at</w:t>
            </w:r>
          </w:p>
        </w:tc>
        <w:tc>
          <w:tcPr>
            <w:tcW w:w="0" w:type="dxa"/>
            <w:vAlign w:val="bottom"/>
          </w:tcPr>
          <w:p>
            <w:pPr>
              <w:spacing w:after="0"/>
              <w:rPr>
                <w:sz w:val="1"/>
                <w:szCs w:val="1"/>
                <w:color w:val="auto"/>
              </w:rPr>
            </w:pPr>
          </w:p>
        </w:tc>
      </w:tr>
      <w:tr>
        <w:trPr>
          <w:trHeight w:val="109"/>
        </w:trPr>
        <w:tc>
          <w:tcPr>
            <w:tcW w:w="5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July 1, 2019</w:t>
            </w:r>
          </w:p>
        </w:tc>
        <w:tc>
          <w:tcPr>
            <w:tcW w:w="0" w:type="dxa"/>
            <w:vAlign w:val="bottom"/>
          </w:tcPr>
          <w:p>
            <w:pPr>
              <w:spacing w:after="0"/>
              <w:rPr>
                <w:sz w:val="1"/>
                <w:szCs w:val="1"/>
                <w:color w:val="auto"/>
              </w:rPr>
            </w:pPr>
          </w:p>
        </w:tc>
      </w:tr>
      <w:tr>
        <w:trPr>
          <w:trHeight w:val="86"/>
        </w:trPr>
        <w:tc>
          <w:tcPr>
            <w:tcW w:w="56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6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5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78,065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78,006</w:t>
            </w:r>
          </w:p>
        </w:tc>
        <w:tc>
          <w:tcPr>
            <w:tcW w:w="0" w:type="dxa"/>
            <w:vAlign w:val="bottom"/>
          </w:tcPr>
          <w:p>
            <w:pPr>
              <w:spacing w:after="0"/>
              <w:rPr>
                <w:sz w:val="1"/>
                <w:szCs w:val="1"/>
                <w:color w:val="auto"/>
              </w:rPr>
            </w:pPr>
          </w:p>
        </w:tc>
      </w:tr>
      <w:tr>
        <w:trPr>
          <w:trHeight w:val="260"/>
        </w:trPr>
        <w:tc>
          <w:tcPr>
            <w:tcW w:w="564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490,755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(121,254)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369,501</w:t>
            </w:r>
          </w:p>
        </w:tc>
        <w:tc>
          <w:tcPr>
            <w:tcW w:w="0" w:type="dxa"/>
            <w:vAlign w:val="bottom"/>
          </w:tcPr>
          <w:p>
            <w:pPr>
              <w:spacing w:after="0"/>
              <w:rPr>
                <w:sz w:val="1"/>
                <w:szCs w:val="1"/>
                <w:color w:val="auto"/>
              </w:rPr>
            </w:pPr>
          </w:p>
        </w:tc>
      </w:tr>
      <w:tr>
        <w:trPr>
          <w:trHeight w:val="280"/>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assets, net</w:t>
            </w:r>
          </w:p>
        </w:tc>
        <w:tc>
          <w:tcPr>
            <w:tcW w:w="2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169,668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169,668</w:t>
            </w:r>
          </w:p>
        </w:tc>
        <w:tc>
          <w:tcPr>
            <w:tcW w:w="0" w:type="dxa"/>
            <w:vAlign w:val="bottom"/>
          </w:tcPr>
          <w:p>
            <w:pPr>
              <w:spacing w:after="0"/>
              <w:rPr>
                <w:sz w:val="1"/>
                <w:szCs w:val="1"/>
                <w:color w:val="auto"/>
              </w:rPr>
            </w:pPr>
          </w:p>
        </w:tc>
      </w:tr>
      <w:tr>
        <w:trPr>
          <w:trHeight w:val="260"/>
        </w:trPr>
        <w:tc>
          <w:tcPr>
            <w:tcW w:w="564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59,906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59,089</w:t>
            </w:r>
          </w:p>
        </w:tc>
        <w:tc>
          <w:tcPr>
            <w:tcW w:w="0" w:type="dxa"/>
            <w:vAlign w:val="bottom"/>
          </w:tcPr>
          <w:p>
            <w:pPr>
              <w:spacing w:after="0"/>
              <w:rPr>
                <w:sz w:val="1"/>
                <w:szCs w:val="1"/>
                <w:color w:val="auto"/>
              </w:rPr>
            </w:pPr>
          </w:p>
        </w:tc>
      </w:tr>
      <w:tr>
        <w:trPr>
          <w:trHeight w:val="26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40" w:type="dxa"/>
            <w:vAlign w:val="bottom"/>
          </w:tcPr>
          <w:p>
            <w:pPr>
              <w:ind w:left="180"/>
              <w:spacing w:after="0"/>
              <w:rPr>
                <w:sz w:val="20"/>
                <w:szCs w:val="20"/>
                <w:color w:val="auto"/>
              </w:rPr>
            </w:pPr>
            <w:r>
              <w:rPr>
                <w:rFonts w:ascii="Arial" w:cs="Arial" w:eastAsia="Arial" w:hAnsi="Arial"/>
                <w:sz w:val="16"/>
                <w:szCs w:val="16"/>
                <w:color w:val="auto"/>
              </w:rPr>
              <w:t>Operating lease liabilities, current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37,342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37,342</w:t>
            </w:r>
          </w:p>
        </w:tc>
        <w:tc>
          <w:tcPr>
            <w:tcW w:w="0" w:type="dxa"/>
            <w:vAlign w:val="bottom"/>
          </w:tcPr>
          <w:p>
            <w:pPr>
              <w:spacing w:after="0"/>
              <w:rPr>
                <w:sz w:val="1"/>
                <w:szCs w:val="1"/>
                <w:color w:val="auto"/>
              </w:rPr>
            </w:pPr>
          </w:p>
        </w:tc>
      </w:tr>
      <w:tr>
        <w:trPr>
          <w:trHeight w:val="280"/>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27,881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15,312</w:t>
            </w:r>
          </w:p>
        </w:tc>
        <w:tc>
          <w:tcPr>
            <w:tcW w:w="0" w:type="dxa"/>
            <w:vAlign w:val="bottom"/>
          </w:tcPr>
          <w:p>
            <w:pPr>
              <w:spacing w:after="0"/>
              <w:rPr>
                <w:sz w:val="1"/>
                <w:szCs w:val="1"/>
                <w:color w:val="auto"/>
              </w:rPr>
            </w:pPr>
          </w:p>
        </w:tc>
      </w:tr>
      <w:tr>
        <w:trPr>
          <w:trHeight w:val="260"/>
        </w:trPr>
        <w:tc>
          <w:tcPr>
            <w:tcW w:w="5640" w:type="dxa"/>
            <w:vAlign w:val="bottom"/>
          </w:tcPr>
          <w:p>
            <w:pPr>
              <w:ind w:left="180"/>
              <w:spacing w:after="0"/>
              <w:rPr>
                <w:sz w:val="20"/>
                <w:szCs w:val="20"/>
                <w:color w:val="auto"/>
              </w:rPr>
            </w:pPr>
            <w:r>
              <w:rPr>
                <w:rFonts w:ascii="Arial" w:cs="Arial" w:eastAsia="Arial" w:hAnsi="Arial"/>
                <w:sz w:val="16"/>
                <w:szCs w:val="16"/>
                <w:color w:val="auto"/>
              </w:rPr>
              <w:t>Lease financing obligation</w:t>
            </w:r>
          </w:p>
        </w:tc>
        <w:tc>
          <w:tcPr>
            <w:tcW w:w="26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112,096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(112,096)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139,041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139,041</w:t>
            </w:r>
          </w:p>
        </w:tc>
        <w:tc>
          <w:tcPr>
            <w:tcW w:w="0" w:type="dxa"/>
            <w:vAlign w:val="bottom"/>
          </w:tcPr>
          <w:p>
            <w:pPr>
              <w:spacing w:after="0"/>
              <w:rPr>
                <w:sz w:val="1"/>
                <w:szCs w:val="1"/>
                <w:color w:val="auto"/>
              </w:rPr>
            </w:pPr>
          </w:p>
        </w:tc>
      </w:tr>
      <w:tr>
        <w:trPr>
          <w:trHeight w:val="260"/>
        </w:trPr>
        <w:tc>
          <w:tcPr>
            <w:tcW w:w="56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53,716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(7,169)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46,547</w:t>
            </w:r>
          </w:p>
        </w:tc>
        <w:tc>
          <w:tcPr>
            <w:tcW w:w="0" w:type="dxa"/>
            <w:vAlign w:val="bottom"/>
          </w:tcPr>
          <w:p>
            <w:pPr>
              <w:spacing w:after="0"/>
              <w:rPr>
                <w:sz w:val="1"/>
                <w:szCs w:val="1"/>
                <w:color w:val="auto"/>
              </w:rPr>
            </w:pPr>
          </w:p>
        </w:tc>
      </w:tr>
      <w:tr>
        <w:trPr>
          <w:trHeight w:val="280"/>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537,422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540,411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33" w:right="339" w:bottom="1440" w:gutter="0" w:footer="0" w:header="0"/>
        </w:sectPr>
      </w:pPr>
    </w:p>
    <w:bookmarkStart w:id="75" w:name="page76"/>
    <w:bookmarkEnd w:id="75"/>
    <w:p>
      <w:pPr>
        <w:ind w:firstLine="648"/>
        <w:spacing w:after="0" w:line="252" w:lineRule="auto"/>
        <w:rPr>
          <w:sz w:val="20"/>
          <w:szCs w:val="20"/>
          <w:color w:val="auto"/>
        </w:rPr>
      </w:pPr>
      <w:r>
        <w:rPr>
          <w:rFonts w:ascii="Arial" w:cs="Arial" w:eastAsia="Arial" w:hAnsi="Arial"/>
          <w:sz w:val="18"/>
          <w:szCs w:val="18"/>
          <w:color w:val="auto"/>
        </w:rPr>
        <w:t>The new standard impacted the classification of our build-to-suit leases for our Waltham, Massachusetts and Dallas, Texas building leases, which resulted in a change of their classification to operating leases. On July 1, 2019, we de-recognized the existing lease assets included within property, plant and equipment, net of $121,254, the related lease financing obligations of $124,665, and associated deferred rent of $418. This change resulted in an $ 817 decrease to deferred tax assets and a net increase to retained earnings of $ 2,989. In addition, on July 1, 2019, we recognized operating lease assets of $169,668 and operating lease liabilities of $176,383, inclusive of our Waltham, Massachusetts lease which commenced prior to the transition date. The difference between the operating lease assets and liabilities resulted from the reclassification of deferred rent and tenant allowance balances presented in other financial statement lines of the consolidated balance sheet, which are now included in the operating lease assets.</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For the year ended June 30, 2020, the change in lease classification for our build-to-suit leases resulted in a reduction to operating income within our consolidated statement of operations of $7,440, with a corresponding decrease to interest expense, net. In our consolidated statement of cash flows, the change in classification resulted in a decrease to cash from operating activities and increase to cash from financing activities of $4,117 during the year ended June 30, 2020. Other than the impact from our build-to-suit leases, the new standard did not have a material impact on our consolidated statement of operations and consolidated statement of cash flows. Refer to Note 17 for additional lease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policy</w:t>
      </w:r>
    </w:p>
    <w:p>
      <w:pPr>
        <w:spacing w:after="0" w:line="243"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We determine if an arrangement contains a lease at contract inception. We consider an arrangement to be a lease if it conveys the right to control an identifiable asset for a period of time. Costs for operating leases that include incentives such as payment escalations or rent abatements are recognized on a straight-line basis over the term of the lease. Additionally, inducements received are treated as a reduction of our costs over the term of the agreement. Leasehold improvements are capitalized at cost and amortized over the shorter of their expected useful life or the lease term, excluding renewal periods.</w:t>
      </w:r>
    </w:p>
    <w:p>
      <w:pPr>
        <w:spacing w:after="0" w:line="205"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Lease right-of-use ("ROU") assets and liabilities for operating and finance leases are recognized based on the present value of the future lease payments over the lease term at lease commencement date. As most of our leases do not provide an implicit interest rate, we use our incremental borrowing rate based on the information available at the lease commencement date. Our incremental borrowing rate approximates the interest rate on a collateralized basis for the economic environments where our leased assets are located, and is established by considering the credit spread associated with our existing debt arrangements, as well as observed market rates for instruments with a similar term to that of the lease payments. ROU assets also include any lease payments made at or before the lease commencement, as well as any initial direct costs incurred. Lease incentives received from the lessor are recognized as a reduction to the ROU asset.</w:t>
      </w:r>
    </w:p>
    <w:p>
      <w:pPr>
        <w:spacing w:after="0" w:line="20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initial determination of the lease term is based on the facts and circumstances that exist at lease commencement. The lease term may include the effect of options to extend or terminate the lease when it is reasonably certain that those options will be exercised. We consider these options reasonably certain to be exercised based on our assessment of economic incentives, including the fair market rent for equivalent properties under similar terms and conditions, costs of relocating, availability of comparable replacement assets, and any related disruption to operations that would be experienced by not renewing the lease.</w:t>
      </w:r>
    </w:p>
    <w:p>
      <w:pPr>
        <w:spacing w:after="0" w:line="178" w:lineRule="exact"/>
        <w:rPr>
          <w:sz w:val="20"/>
          <w:szCs w:val="20"/>
          <w:color w:val="auto"/>
        </w:rPr>
      </w:pPr>
    </w:p>
    <w:p>
      <w:pPr>
        <w:jc w:val="both"/>
        <w:ind w:right="120" w:firstLine="540"/>
        <w:spacing w:after="0" w:line="254" w:lineRule="auto"/>
        <w:rPr>
          <w:sz w:val="20"/>
          <w:szCs w:val="20"/>
          <w:color w:val="auto"/>
        </w:rPr>
      </w:pPr>
      <w:r>
        <w:rPr>
          <w:rFonts w:ascii="Arial" w:cs="Arial" w:eastAsia="Arial" w:hAnsi="Arial"/>
          <w:sz w:val="18"/>
          <w:szCs w:val="18"/>
          <w:color w:val="auto"/>
        </w:rPr>
        <w:t>Finance leases are accounted for as an acquisition of an asset and incurrence of an obligation. Assets held under finance leases are recorded at the lower of the present value of the minimum lease payments or the fair value of the leased asset at the inception of the lease, and amortized over the useful life of the asset. The corresponding finance lease obligation is recorded at the present value of the minimum lease payments at inception of the lease.</w:t>
      </w:r>
    </w:p>
    <w:p>
      <w:pPr>
        <w:spacing w:after="0" w:line="204"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Operating leases are included in operating lease assets and current and non-current operating lease liabilities in the consolidated balance sheets. Finance lease assets are included in property, plant, and equipment, net, and the related liabilities are included in other current liabilities and other liabilities in the consolidated balance sheets.</w:t>
      </w:r>
    </w:p>
    <w:p>
      <w:pPr>
        <w:spacing w:after="0" w:line="20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Variable lease payments are excluded from the operating lease assets and liabilities and are recognized as expense in the period in which the obligation is incurred. Variable lease payments primarily include index-based rent escalation associated with some of our real estate leases, as well as property taxes and common area</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355" w:right="359" w:bottom="1440" w:gutter="0" w:footer="0" w:header="0"/>
        </w:sectPr>
      </w:pPr>
    </w:p>
    <w:bookmarkStart w:id="76" w:name="page77"/>
    <w:bookmarkEnd w:id="76"/>
    <w:p>
      <w:pPr>
        <w:ind w:right="140"/>
        <w:spacing w:after="0" w:line="261" w:lineRule="auto"/>
        <w:rPr>
          <w:sz w:val="20"/>
          <w:szCs w:val="20"/>
          <w:color w:val="auto"/>
        </w:rPr>
      </w:pPr>
      <w:r>
        <w:rPr>
          <w:rFonts w:ascii="Arial" w:cs="Arial" w:eastAsia="Arial" w:hAnsi="Arial"/>
          <w:sz w:val="18"/>
          <w:szCs w:val="18"/>
          <w:color w:val="auto"/>
        </w:rPr>
        <w:t>maintenance payments for most real estate leases, which are determined based on the costs incurred by the lessor. We also make variable lease payments for certain print equipment leases that are determined based on production volumes.</w:t>
      </w:r>
    </w:p>
    <w:p>
      <w:pPr>
        <w:spacing w:after="0" w:line="171" w:lineRule="exact"/>
        <w:rPr>
          <w:sz w:val="20"/>
          <w:szCs w:val="20"/>
          <w:color w:val="auto"/>
        </w:rPr>
      </w:pPr>
    </w:p>
    <w:p>
      <w:pPr>
        <w:ind w:firstLine="540"/>
        <w:spacing w:after="0" w:line="252" w:lineRule="auto"/>
        <w:rPr>
          <w:sz w:val="20"/>
          <w:szCs w:val="20"/>
          <w:color w:val="auto"/>
        </w:rPr>
      </w:pPr>
      <w:r>
        <w:rPr>
          <w:rFonts w:ascii="Arial" w:cs="Arial" w:eastAsia="Arial" w:hAnsi="Arial"/>
          <w:sz w:val="18"/>
          <w:szCs w:val="18"/>
          <w:color w:val="auto"/>
        </w:rPr>
        <w:t>For lease arrangements where we are deemed to be involved in the construction of structural improvements prior to the commencement of the lease or take some level of construction risk, we are considered the owner of the assets during the construction period. Accordingly, as the lessor incurs the construction project costs, the assets and corresponding financial obligation are recorded in our consolidated balance sheet. Once the construction is completed, if the lease meets certain “sale-leaseback” criteria, we will remove the asset and related financial obligation from the balance sheet and treat the building lease as either an operating or finance lease based on our assessment of the guidance. If, upon completion of construction, the project does not meet the “sale-leaseback” criteria, the lease will be treated as a financing obligation and we will depreciate the asset over its estimated useful life for financial reporting purposes.</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subleased a small amount of our equipment and real estate lease portfolio to third parties, making us the lessor. Most of these subleases meet the criteria for operating lease classification and the related sublease income is recognized on a straight-line basis over the lease term within the consolidated statement of operations. To a lesser extent, we have leases in which we are the lessees, classify the leases as finance leases and have subleased the asset under similar terms, resulting in their classification as direct financing leases. For direct financing leases, we recognize a sublease receivable within prepaid expenses and other current assets and other assets in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August 2018, the FASB issued Accounting Standards Update No. 2018-15 "Intangibles—Goodwill and Other—Internal-Use Software (Subtopic 350-40)" (ASU 2018-15), which requires a customer in a cloud computing arrangement that is a service contract to follow the internal use software guidance in ASC 350-40 to determine which implementation costs to capitalize as assets or expense as incurred. The standard would be effective on July 1, 2020 and we early adopted the new standard on July 1, 2019. The standard did not have a material impact on our consolidated financial statements.</w:t>
      </w:r>
    </w:p>
    <w:p>
      <w:pPr>
        <w:spacing w:after="0" w:line="178"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In August 2017, the FASB issued Accounting Standards Update No. 2017-12, "Derivatives and Hedging: Targeted Improvements to Accounting for Hedging Activities (Topic 815)," (ASU 2017-12), which better aligns a company’s financial reporting for hedging activities with the economic objectives of those activities. We adopted the amendment on its effective date of July 1, 2019. The standard requires a modified retrospective transition approach, and we recognized the cumulative effect of the change within shareholders' equity as of the date of adoption. Upon transitioning to the new standard on July 1, 2019, we reversed the cumulative effect of expense previously recognized in earnings for the ineffective portion of our interest rate swap contracts, which resulted in an adjustment to retained earnings and accumulated other comprehensive loss within our consolidated balance sheet of $153, net of tax. We will prospectively recognize any ineffectiveness associated with our effective and designated cash flow hedges within accumulated other comprehensive loss, rather than in earnings. These changes did not have a material impact on our consolidated financial statements.</w:t>
      </w:r>
    </w:p>
    <w:p>
      <w:pPr>
        <w:spacing w:after="0" w:line="17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March 2016, the FASB issued Accounting Standards Update No. 2016-02, "Leases (Topic 842)" (ASU 2016-02), which requires the recognition of lease assets and lease liabilities by lessees for those leases currently classified as operating leases. The standard also retains a distinction between finance leases and operating leases. We adopted the standard on its effective date of July 1, 2019. Refer to the information above for additional details of the adoption.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35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16"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In December 2019, the FASB issued Accounting Standards Update No. 2019-12 "Income Taxes (Topic 740): Simplifying the Accounting for Income Taxes" (ASU 2019-12), which modifies certain aspects of income tax accounting. The standard is effective for us on July 1, 2020. We do not expect the effect of ASU 2019-12 to have a material impact on our consolidated financial statements.</w:t>
      </w:r>
    </w:p>
    <w:p>
      <w:pPr>
        <w:spacing w:after="0" w:line="17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June 2016, the FASB issued Accounting Standards Update No. 2016-13 "Financial Instruments—Credit Losses (Topic 326)" (ASU 2016-13), which introduces a new accounting model for recognizing credit losses on certain financial instruments based on an estimate of current expected credit losses. The standard is effective for us on July 1, 2020. We do not expect the effect of ASU 2016-13 to have a material impact on our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660" w:right="260" w:hanging="328"/>
        <w:spacing w:after="0" w:line="266"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in markets that are not active and inputs that are observable for the asset or liability, either directly or indirectly, for substantially the full term of the financial instrument.</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89" w:lineRule="exact"/>
        <w:rPr>
          <w:sz w:val="20"/>
          <w:szCs w:val="20"/>
          <w:color w:val="auto"/>
        </w:rPr>
      </w:pPr>
    </w:p>
    <w:p>
      <w:pPr>
        <w:jc w:val="both"/>
        <w:ind w:right="220" w:firstLine="66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2020</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40"/>
        </w:trPr>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5"/>
        </w:trPr>
        <w:tc>
          <w:tcPr>
            <w:tcW w:w="5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9"/>
              </w:rPr>
              <w:t>Significant</w:t>
            </w:r>
          </w:p>
        </w:tc>
      </w:tr>
      <w:tr>
        <w:trPr>
          <w:trHeight w:val="135"/>
        </w:trPr>
        <w:tc>
          <w:tcPr>
            <w:tcW w:w="5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4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5"/>
              </w:rPr>
              <w:t>Unobservable</w:t>
            </w:r>
          </w:p>
        </w:tc>
      </w:tr>
      <w:tr>
        <w:trPr>
          <w:trHeight w:val="135"/>
        </w:trPr>
        <w:tc>
          <w:tcPr>
            <w:tcW w:w="5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4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7"/>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40" w:type="dxa"/>
            <w:vAlign w:val="bottom"/>
          </w:tcPr>
          <w:p>
            <w:pPr>
              <w:jc w:val="center"/>
              <w:ind w:right="145"/>
              <w:spacing w:after="0"/>
              <w:rPr>
                <w:sz w:val="20"/>
                <w:szCs w:val="20"/>
                <w:color w:val="auto"/>
              </w:rPr>
            </w:pPr>
            <w:r>
              <w:rPr>
                <w:rFonts w:ascii="Arial" w:cs="Arial" w:eastAsia="Arial" w:hAnsi="Arial"/>
                <w:sz w:val="13"/>
                <w:szCs w:val="13"/>
                <w:b w:val="1"/>
                <w:bCs w:val="1"/>
                <w:color w:val="auto"/>
                <w:w w:val="94"/>
              </w:rPr>
              <w:t>(Level 3)</w:t>
            </w:r>
          </w:p>
        </w:tc>
      </w:tr>
      <w:tr>
        <w:trPr>
          <w:trHeight w:val="270"/>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Cross-currency swap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4,462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4"/>
              <w:spacing w:after="0"/>
              <w:rPr>
                <w:sz w:val="20"/>
                <w:szCs w:val="20"/>
                <w:color w:val="auto"/>
              </w:rPr>
            </w:pPr>
            <w:r>
              <w:rPr>
                <w:rFonts w:ascii="Arial" w:cs="Arial" w:eastAsia="Arial" w:hAnsi="Arial"/>
                <w:sz w:val="16"/>
                <w:szCs w:val="16"/>
                <w:color w:val="auto"/>
              </w:rPr>
              <w:t>4,462</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7,949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13,840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13,840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(39,520)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(39,520)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7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080" w:type="dxa"/>
            <w:vAlign w:val="bottom"/>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(52,823)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(52,823)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51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2019</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40"/>
        </w:trPr>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35"/>
        </w:trPr>
        <w:tc>
          <w:tcPr>
            <w:tcW w:w="5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9"/>
              </w:rPr>
              <w:t>Significant</w:t>
            </w:r>
          </w:p>
        </w:tc>
      </w:tr>
      <w:tr>
        <w:trPr>
          <w:trHeight w:val="135"/>
        </w:trPr>
        <w:tc>
          <w:tcPr>
            <w:tcW w:w="5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4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5"/>
              </w:rPr>
              <w:t>Unobservable</w:t>
            </w:r>
          </w:p>
        </w:tc>
      </w:tr>
      <w:tr>
        <w:trPr>
          <w:trHeight w:val="135"/>
        </w:trPr>
        <w:tc>
          <w:tcPr>
            <w:tcW w:w="5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4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7"/>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40" w:type="dxa"/>
            <w:vAlign w:val="bottom"/>
          </w:tcPr>
          <w:p>
            <w:pPr>
              <w:jc w:val="center"/>
              <w:ind w:right="145"/>
              <w:spacing w:after="0"/>
              <w:rPr>
                <w:sz w:val="20"/>
                <w:szCs w:val="20"/>
                <w:color w:val="auto"/>
              </w:rPr>
            </w:pPr>
            <w:r>
              <w:rPr>
                <w:rFonts w:ascii="Arial" w:cs="Arial" w:eastAsia="Arial" w:hAnsi="Arial"/>
                <w:sz w:val="13"/>
                <w:szCs w:val="13"/>
                <w:b w:val="1"/>
                <w:bCs w:val="1"/>
                <w:color w:val="auto"/>
                <w:w w:val="94"/>
              </w:rPr>
              <w:t>(Level 3)</w:t>
            </w:r>
          </w:p>
        </w:tc>
      </w:tr>
      <w:tr>
        <w:trPr>
          <w:trHeight w:val="270"/>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4"/>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15,268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15,268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4,765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4,765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20,177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3"/>
        </w:trPr>
        <w:tc>
          <w:tcPr>
            <w:tcW w:w="5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7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080" w:type="dxa"/>
            <w:vAlign w:val="bottom"/>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(16,338)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(16,338)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During the years ended June 30, 2020, 2019 and 2018, there were no significant transfers in or out of Level 1, Level 2 and Level 3 classifications.</w:t>
      </w:r>
    </w:p>
    <w:p>
      <w:pPr>
        <w:spacing w:after="0" w:line="17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8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June 30, 2020,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0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As of June 30, 2020 and June 30, 2019, the carrying amounts of our cash and cash equivalents, accounts receivable, accounts payable and other current liabilities approximated their estimated fair values. As of June 30, 2020 and June 30, 2019, the carrying value of our debt, excluding debt issuance costs and debt premiums and discounts, was $1,482,177 and $1,035,585, respectively, and the fair value was $1,450,719 and $1,045,334, respectively. Our debt at June 30, 2020 includes variable-rate debt instruments indexed to LIBOR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The estimated fair value of assets and liabilities disclosed above may not be representative of actual values that could have been or will be realized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9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3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On July 1, 2019, we adopted the new hedge accounting standard, in which we no longer recognize the ineffective portion of an effective hedge within earnings, rather any ineffectiveness associated with any effective and designated hedge is recognized within accumulated other comprehensive loss. Refer to Note 2 for additional details.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change in the fair value of derivatives not designated as hedges is recognized directly in earnings as a component of other income (expense), net.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w:t>
      </w:r>
    </w:p>
    <w:p>
      <w:pPr>
        <w:spacing w:after="0" w:line="181"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Amounts reported in accumulated other comprehensive loss related to interest rate swap contracts will be reclassified to interest expense, net as interest payments are accrued or made on our variable-rate debt. As of June 30, 2020, we estimate that $10,364 will be reclassified from accumulated other comprehensive loss to interest expense during the twelve months ending June 30, 2021. As of June 30, 2020, we had ten outstanding interest rate swap contracts indexed to USD LIBOR, of which seven of these instruments were designated as cash flow hedges of interest rate risk and have varying start dates and maturity dates through December 2025. During the fourth quarter of fiscal 2020, we de-designated three contracts from hedge accounting due to an increased floor to our LIBOR borrowing costs related to the April 2020 amendment to our senior secured credit facility. As a result of this change in the underlying debt being hedged, these three forward starting hedges were no longer highly effective. These de-designated hedges have varying start dates and maturity dates through December 2026.</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Notional Amounts</w:t>
            </w: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Contracts accruing interest as of June 30, 2020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r>
      <w:tr>
        <w:trPr>
          <w:trHeight w:val="263"/>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50,000</w:t>
            </w:r>
          </w:p>
        </w:tc>
      </w:tr>
      <w:tr>
        <w:trPr>
          <w:trHeight w:val="24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550,000</w:t>
            </w:r>
          </w:p>
        </w:tc>
      </w:tr>
      <w:tr>
        <w:trPr>
          <w:trHeight w:val="20"/>
        </w:trPr>
        <w:tc>
          <w:tcPr>
            <w:tcW w:w="8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18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51"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During the year ended June 30, 2020, we terminated one of our cross-currency swaps, resulting in cash proceeds of $9,177 which were recognized within cash provided by operating activities in our consolidated statement of cash flows. As of June 30, 2020, we had two outstanding cross-currency swap contracts designated as cash flow hedges with a total notional amount of $120,874, both maturing during June 2024. We entered into the two cross-currency swap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603" w:right="339" w:bottom="1440" w:gutter="0" w:footer="0" w:header="0"/>
        </w:sectPr>
      </w:pPr>
    </w:p>
    <w:bookmarkStart w:id="80" w:name="page81"/>
    <w:bookmarkEnd w:id="80"/>
    <w:p>
      <w:pPr>
        <w:ind w:right="300"/>
        <w:spacing w:after="0" w:line="261" w:lineRule="auto"/>
        <w:rPr>
          <w:sz w:val="20"/>
          <w:szCs w:val="20"/>
          <w:color w:val="auto"/>
        </w:rPr>
      </w:pPr>
      <w:r>
        <w:rPr>
          <w:rFonts w:ascii="Arial" w:cs="Arial" w:eastAsia="Arial" w:hAnsi="Arial"/>
          <w:sz w:val="18"/>
          <w:szCs w:val="18"/>
          <w:color w:val="auto"/>
        </w:rPr>
        <w:t>contracts to hedge the risk of changes in one Euro-denominated intercompany loan entered into with one of our consolidated subsidiaries that has the Euro as its functional currency.</w:t>
      </w:r>
    </w:p>
    <w:p>
      <w:pPr>
        <w:spacing w:after="0" w:line="144"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Amounts reported in accumulated other comprehensive loss will be reclassified to other income (expense), net as interest payments are accrued or paid and upon remeasuring the intercompany loan. As of June 30, 2020, we estimate that $ 2,994 of income will be reclassified from accumulated other comprehensive loss to interest expense, net during the twelve months ending June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Currency Contracts</w:t>
      </w:r>
    </w:p>
    <w:p>
      <w:pPr>
        <w:spacing w:after="0" w:line="270"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w:t>
      </w:r>
    </w:p>
    <w:p>
      <w:pPr>
        <w:spacing w:after="0" w:line="17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During the year ended June 30, 2020, we terminated nine forward contracts designated as net investment hedges, resulting in cash proceeds of $29,791 which continues to be recognized in accumulated other comprehensive income (loss). The cash proceeds were recognized as cash provided by investing activities within our consolidated statement of cash flow. As of June 30, 2020, we had five currency forward contracts designated as net investment hedges with a total notional amount of $149,604, maturing during various dates through April 2023. We entered into these contracts to hedge the risk of changes in the U.S. dollar equivalent value of a portion of our net investment in two consolidated subsidiaries that have the Euro as their functional currency. Amounts reported in accumulated other comprehensive loss are recognized as a component of our cumulative translation adjustment.</w:t>
      </w:r>
    </w:p>
    <w:p>
      <w:pPr>
        <w:spacing w:after="0" w:line="18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years ended June 30, 2020, 2019 and 2018, we have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8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of June 30, 2020, we had the following outstanding currency derivative contracts that were not designated for hedge accounting and were used to hedge fluctuations in the U.S. dollar value of forecasted transactions or balances denominated in Australian Dollar, British Pound, Canadian Dollar, Danish Krone, Euro, Indian Rupee, Mexican Peso, New Zealand Dollar, Norwegian Krone, Philippine Peso and Swedish Krona: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Borders>
              <w:bottom w:val="single" w:sz="8" w:color="CCEEFF"/>
            </w:tcBorders>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100" w:type="dxa"/>
            <w:vAlign w:val="bottom"/>
            <w:tcBorders>
              <w:bottom w:val="single" w:sz="8" w:color="CCEEFF"/>
            </w:tcBorders>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Instruments</w:t>
            </w:r>
          </w:p>
        </w:tc>
        <w:tc>
          <w:tcPr>
            <w:tcW w:w="10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217"/>
        </w:trPr>
        <w:tc>
          <w:tcPr>
            <w:tcW w:w="1820" w:type="dxa"/>
            <w:vAlign w:val="bottom"/>
            <w:vMerge w:val="restart"/>
            <w:shd w:val="clear" w:color="auto" w:fill="CCEEFF"/>
          </w:tcPr>
          <w:p>
            <w:pPr>
              <w:jc w:val="right"/>
              <w:ind w:right="484"/>
              <w:spacing w:after="0"/>
              <w:rPr>
                <w:sz w:val="20"/>
                <w:szCs w:val="20"/>
                <w:color w:val="auto"/>
              </w:rPr>
            </w:pPr>
            <w:r>
              <w:rPr>
                <w:rFonts w:ascii="Arial" w:cs="Arial" w:eastAsia="Arial" w:hAnsi="Arial"/>
                <w:sz w:val="16"/>
                <w:szCs w:val="16"/>
                <w:color w:val="auto"/>
              </w:rPr>
              <w:t>$587,993</w:t>
            </w:r>
          </w:p>
        </w:tc>
        <w:tc>
          <w:tcPr>
            <w:tcW w:w="12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September 2018 through June</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Various dates through October</w:t>
            </w:r>
          </w:p>
        </w:tc>
        <w:tc>
          <w:tcPr>
            <w:tcW w:w="2140" w:type="dxa"/>
            <w:vAlign w:val="bottom"/>
            <w:vMerge w:val="restart"/>
            <w:shd w:val="clear" w:color="auto" w:fill="CCEEFF"/>
          </w:tcPr>
          <w:p>
            <w:pPr>
              <w:jc w:val="right"/>
              <w:ind w:right="864"/>
              <w:spacing w:after="0"/>
              <w:rPr>
                <w:sz w:val="20"/>
                <w:szCs w:val="20"/>
                <w:color w:val="auto"/>
              </w:rPr>
            </w:pPr>
            <w:r>
              <w:rPr>
                <w:rFonts w:ascii="Arial" w:cs="Arial" w:eastAsia="Arial" w:hAnsi="Arial"/>
                <w:sz w:val="16"/>
                <w:szCs w:val="16"/>
                <w:color w:val="auto"/>
              </w:rPr>
              <w:t>574</w:t>
            </w:r>
          </w:p>
        </w:tc>
        <w:tc>
          <w:tcPr>
            <w:tcW w:w="100" w:type="dxa"/>
            <w:vAlign w:val="bottom"/>
            <w:shd w:val="clear" w:color="auto" w:fill="CCEEFF"/>
          </w:tcPr>
          <w:p>
            <w:pPr>
              <w:spacing w:after="0"/>
              <w:rPr>
                <w:sz w:val="18"/>
                <w:szCs w:val="18"/>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0" w:type="dxa"/>
            <w:vAlign w:val="bottom"/>
          </w:tcPr>
          <w:p>
            <w:pPr>
              <w:spacing w:after="0"/>
              <w:rPr>
                <w:sz w:val="1"/>
                <w:szCs w:val="1"/>
                <w:color w:val="auto"/>
              </w:rPr>
            </w:pPr>
          </w:p>
        </w:tc>
      </w:tr>
      <w:tr>
        <w:trPr>
          <w:trHeight w:val="100"/>
        </w:trPr>
        <w:tc>
          <w:tcPr>
            <w:tcW w:w="1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8"/>
                <w:szCs w:val="8"/>
                <w:color w:val="auto"/>
              </w:rPr>
            </w:pPr>
          </w:p>
        </w:tc>
        <w:tc>
          <w:tcPr>
            <w:tcW w:w="2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8"/>
                <w:szCs w:val="8"/>
                <w:color w:val="auto"/>
              </w:rPr>
            </w:pPr>
          </w:p>
        </w:tc>
        <w:tc>
          <w:tcPr>
            <w:tcW w:w="21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3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51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2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June 30, 2020 and June 30, 2019. Our derivative asset and liability balances will fluctuate with interest rate and currency exchange rate volatility.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9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2020</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04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60" w:type="dxa"/>
            <w:vAlign w:val="bottom"/>
            <w:gridSpan w:val="3"/>
          </w:tcPr>
          <w:p>
            <w:pPr>
              <w:jc w:val="center"/>
              <w:ind w:right="140"/>
              <w:spacing w:after="0" w:line="140" w:lineRule="exact"/>
              <w:rPr>
                <w:sz w:val="20"/>
                <w:szCs w:val="20"/>
                <w:color w:val="auto"/>
              </w:rPr>
            </w:pPr>
            <w:r>
              <w:rPr>
                <w:rFonts w:ascii="Arial" w:cs="Arial" w:eastAsia="Arial" w:hAnsi="Arial"/>
                <w:sz w:val="13"/>
                <w:szCs w:val="13"/>
                <w:b w:val="1"/>
                <w:bCs w:val="1"/>
                <w:color w:val="auto"/>
                <w:w w:val="98"/>
              </w:rPr>
              <w:t>Gross amounts</w:t>
            </w:r>
          </w:p>
        </w:tc>
        <w:tc>
          <w:tcPr>
            <w:tcW w:w="14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5"/>
              </w:rPr>
              <w:t>Gross amount offset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Gross amounts</w:t>
            </w:r>
          </w:p>
        </w:tc>
        <w:tc>
          <w:tcPr>
            <w:tcW w:w="144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item</w:t>
            </w: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assets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3"/>
                <w:szCs w:val="13"/>
                <w:b w:val="1"/>
                <w:bCs w:val="1"/>
                <w:color w:val="auto"/>
                <w:w w:val="95"/>
              </w:rPr>
              <w:t>Net amount</w:t>
            </w:r>
          </w:p>
        </w:tc>
        <w:tc>
          <w:tcPr>
            <w:tcW w:w="12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Arial" w:cs="Arial" w:eastAsia="Arial" w:hAnsi="Arial"/>
                <w:sz w:val="13"/>
                <w:szCs w:val="13"/>
                <w:b w:val="1"/>
                <w:bCs w:val="1"/>
                <w:color w:val="auto"/>
                <w:w w:val="95"/>
              </w:rPr>
              <w:t>Net amount</w:t>
            </w:r>
          </w:p>
        </w:tc>
        <w:tc>
          <w:tcPr>
            <w:tcW w:w="0" w:type="dxa"/>
            <w:vAlign w:val="bottom"/>
          </w:tcPr>
          <w:p>
            <w:pPr>
              <w:spacing w:after="0"/>
              <w:rPr>
                <w:sz w:val="1"/>
                <w:szCs w:val="1"/>
                <w:color w:val="auto"/>
              </w:rPr>
            </w:pPr>
          </w:p>
        </w:tc>
      </w:tr>
      <w:tr>
        <w:trPr>
          <w:trHeight w:val="127"/>
        </w:trPr>
        <w:tc>
          <w:tcPr>
            <w:tcW w:w="192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designated as</w:t>
            </w: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20" w:type="dxa"/>
            <w:vAlign w:val="bottom"/>
          </w:tcPr>
          <w:p>
            <w:pPr>
              <w:ind w:left="40"/>
              <w:spacing w:after="0" w:line="142" w:lineRule="exact"/>
              <w:rPr>
                <w:sz w:val="20"/>
                <w:szCs w:val="20"/>
                <w:color w:val="auto"/>
              </w:rPr>
            </w:pPr>
            <w:r>
              <w:rPr>
                <w:rFonts w:ascii="Arial" w:cs="Arial" w:eastAsia="Arial" w:hAnsi="Arial"/>
                <w:sz w:val="13"/>
                <w:szCs w:val="13"/>
                <w:b w:val="1"/>
                <w:bCs w:val="1"/>
                <w:i w:val="1"/>
                <w:iCs w:val="1"/>
                <w:color w:val="auto"/>
              </w:rPr>
              <w:t>Derivatives in cash flow</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hedging relationships</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(31,161)</w:t>
            </w:r>
          </w:p>
        </w:tc>
        <w:tc>
          <w:tcPr>
            <w:tcW w:w="0" w:type="dxa"/>
            <w:vAlign w:val="bottom"/>
          </w:tcPr>
          <w:p>
            <w:pPr>
              <w:spacing w:after="0"/>
              <w:rPr>
                <w:sz w:val="1"/>
                <w:szCs w:val="1"/>
                <w:color w:val="auto"/>
              </w:rPr>
            </w:pPr>
          </w:p>
        </w:tc>
      </w:tr>
      <w:tr>
        <w:trPr>
          <w:trHeight w:val="194"/>
        </w:trPr>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20" w:type="dxa"/>
            <w:vAlign w:val="bottom"/>
          </w:tcPr>
          <w:p>
            <w:pPr>
              <w:ind w:left="4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5"/>
                <w:szCs w:val="15"/>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4,462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4,462</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(4,746)</w:t>
            </w: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b w:val="1"/>
                <w:bCs w:val="1"/>
                <w:i w:val="1"/>
                <w:iCs w:val="1"/>
                <w:color w:val="auto"/>
              </w:rPr>
              <w:t>Derivatives in net investment</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ind w:left="40"/>
              <w:spacing w:after="0"/>
              <w:rPr>
                <w:sz w:val="20"/>
                <w:szCs w:val="20"/>
                <w:color w:val="auto"/>
              </w:rPr>
            </w:pPr>
            <w:r>
              <w:rPr>
                <w:rFonts w:ascii="Arial" w:cs="Arial" w:eastAsia="Arial" w:hAnsi="Arial"/>
                <w:sz w:val="13"/>
                <w:szCs w:val="13"/>
                <w:b w:val="1"/>
                <w:bCs w:val="1"/>
                <w:i w:val="1"/>
                <w:iCs w:val="1"/>
                <w:color w:val="auto"/>
              </w:rPr>
              <w:t>hedging relationships</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(6,829)</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4,462</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4,462</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(42,736)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(42,736)</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9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(8,359)</w:t>
            </w:r>
          </w:p>
        </w:tc>
        <w:tc>
          <w:tcPr>
            <w:tcW w:w="0" w:type="dxa"/>
            <w:vAlign w:val="bottom"/>
          </w:tcPr>
          <w:p>
            <w:pPr>
              <w:spacing w:after="0"/>
              <w:rPr>
                <w:sz w:val="1"/>
                <w:szCs w:val="1"/>
                <w:color w:val="auto"/>
              </w:rPr>
            </w:pPr>
          </w:p>
        </w:tc>
      </w:tr>
      <w:tr>
        <w:trPr>
          <w:trHeight w:val="194"/>
        </w:trPr>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assets /</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20" w:type="dxa"/>
            <w:vAlign w:val="bottom"/>
          </w:tcPr>
          <w:p>
            <w:pPr>
              <w:ind w:left="4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5"/>
                <w:szCs w:val="15"/>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7,949</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1,699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1,429</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4"/>
        </w:trPr>
        <w:tc>
          <w:tcPr>
            <w:tcW w:w="1920" w:type="dxa"/>
            <w:vAlign w:val="bottom"/>
          </w:tcPr>
          <w:p>
            <w:pPr>
              <w:ind w:left="40"/>
              <w:spacing w:after="0"/>
              <w:rPr>
                <w:sz w:val="20"/>
                <w:szCs w:val="20"/>
                <w:color w:val="auto"/>
              </w:rPr>
            </w:pPr>
            <w:r>
              <w:rPr>
                <w:rFonts w:ascii="Arial" w:cs="Arial" w:eastAsia="Arial" w:hAnsi="Arial"/>
                <w:sz w:val="14"/>
                <w:szCs w:val="14"/>
                <w:color w:val="auto"/>
              </w:rPr>
              <w:t>Total derivatives not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40"/>
              <w:spacing w:after="0"/>
              <w:rPr>
                <w:sz w:val="20"/>
                <w:szCs w:val="20"/>
                <w:color w:val="auto"/>
              </w:rPr>
            </w:pPr>
            <w:r>
              <w:rPr>
                <w:rFonts w:ascii="Arial" w:cs="Arial" w:eastAsia="Arial" w:hAnsi="Arial"/>
                <w:sz w:val="14"/>
                <w:szCs w:val="14"/>
                <w:color w:val="auto"/>
              </w:rPr>
              <w:t>designated as hedging</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70"/>
              <w:spacing w:after="0"/>
              <w:rPr>
                <w:sz w:val="20"/>
                <w:szCs w:val="20"/>
                <w:color w:val="auto"/>
              </w:rPr>
            </w:pPr>
            <w:r>
              <w:rPr>
                <w:rFonts w:ascii="Arial" w:cs="Arial" w:eastAsia="Arial" w:hAnsi="Arial"/>
                <w:sz w:val="14"/>
                <w:szCs w:val="14"/>
                <w:color w:val="auto"/>
              </w:rPr>
              <w:t>11,401</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9,378</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(10,533)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50"/>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(10,087)</w:t>
            </w:r>
          </w:p>
        </w:tc>
        <w:tc>
          <w:tcPr>
            <w:tcW w:w="0" w:type="dxa"/>
            <w:vAlign w:val="bottom"/>
          </w:tcPr>
          <w:p>
            <w:pPr>
              <w:spacing w:after="0"/>
              <w:rPr>
                <w:sz w:val="1"/>
                <w:szCs w:val="1"/>
                <w:color w:val="auto"/>
              </w:rPr>
            </w:pPr>
          </w:p>
        </w:tc>
      </w:tr>
      <w:tr>
        <w:trPr>
          <w:trHeight w:val="176"/>
        </w:trPr>
        <w:tc>
          <w:tcPr>
            <w:tcW w:w="1920" w:type="dxa"/>
            <w:vAlign w:val="bottom"/>
          </w:tcPr>
          <w:p>
            <w:pPr>
              <w:ind w:left="40"/>
              <w:spacing w:after="0"/>
              <w:rPr>
                <w:sz w:val="20"/>
                <w:szCs w:val="20"/>
                <w:color w:val="auto"/>
              </w:rPr>
            </w:pPr>
            <w:r>
              <w:rPr>
                <w:rFonts w:ascii="Arial" w:cs="Arial" w:eastAsia="Arial" w:hAnsi="Arial"/>
                <w:sz w:val="14"/>
                <w:szCs w:val="14"/>
                <w:color w:val="auto"/>
              </w:rPr>
              <w:t>instruments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52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7"/>
        </w:trPr>
        <w:tc>
          <w:tcPr>
            <w:tcW w:w="19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2019</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104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60" w:type="dxa"/>
            <w:vAlign w:val="bottom"/>
            <w:gridSpan w:val="3"/>
          </w:tcPr>
          <w:p>
            <w:pPr>
              <w:jc w:val="center"/>
              <w:ind w:right="140"/>
              <w:spacing w:after="0" w:line="140" w:lineRule="exact"/>
              <w:rPr>
                <w:sz w:val="20"/>
                <w:szCs w:val="20"/>
                <w:color w:val="auto"/>
              </w:rPr>
            </w:pPr>
            <w:r>
              <w:rPr>
                <w:rFonts w:ascii="Arial" w:cs="Arial" w:eastAsia="Arial" w:hAnsi="Arial"/>
                <w:sz w:val="13"/>
                <w:szCs w:val="13"/>
                <w:b w:val="1"/>
                <w:bCs w:val="1"/>
                <w:color w:val="auto"/>
                <w:w w:val="98"/>
              </w:rPr>
              <w:t>Gross amounts</w:t>
            </w:r>
          </w:p>
        </w:tc>
        <w:tc>
          <w:tcPr>
            <w:tcW w:w="14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5"/>
              </w:rPr>
              <w:t>Gross amount offset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Gross amounts</w:t>
            </w:r>
          </w:p>
        </w:tc>
        <w:tc>
          <w:tcPr>
            <w:tcW w:w="144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   as</w:t>
            </w: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92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item</w:t>
            </w: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assets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3"/>
                <w:szCs w:val="13"/>
                <w:b w:val="1"/>
                <w:bCs w:val="1"/>
                <w:color w:val="auto"/>
                <w:w w:val="95"/>
              </w:rPr>
              <w:t>Net amount</w:t>
            </w:r>
          </w:p>
        </w:tc>
        <w:tc>
          <w:tcPr>
            <w:tcW w:w="12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60" w:type="dxa"/>
            <w:vAlign w:val="bottom"/>
          </w:tcPr>
          <w:p>
            <w:pPr>
              <w:jc w:val="right"/>
              <w:ind w:right="89"/>
              <w:spacing w:after="0"/>
              <w:rPr>
                <w:sz w:val="20"/>
                <w:szCs w:val="20"/>
                <w:color w:val="auto"/>
              </w:rPr>
            </w:pPr>
            <w:r>
              <w:rPr>
                <w:rFonts w:ascii="Arial" w:cs="Arial" w:eastAsia="Arial" w:hAnsi="Arial"/>
                <w:sz w:val="13"/>
                <w:szCs w:val="13"/>
                <w:b w:val="1"/>
                <w:bCs w:val="1"/>
                <w:color w:val="auto"/>
                <w:w w:val="95"/>
              </w:rPr>
              <w:t>Net amount</w:t>
            </w:r>
          </w:p>
        </w:tc>
        <w:tc>
          <w:tcPr>
            <w:tcW w:w="0" w:type="dxa"/>
            <w:vAlign w:val="bottom"/>
          </w:tcPr>
          <w:p>
            <w:pPr>
              <w:spacing w:after="0"/>
              <w:rPr>
                <w:sz w:val="1"/>
                <w:szCs w:val="1"/>
                <w:color w:val="auto"/>
              </w:rPr>
            </w:pPr>
          </w:p>
        </w:tc>
      </w:tr>
      <w:tr>
        <w:trPr>
          <w:trHeight w:val="129"/>
        </w:trPr>
        <w:tc>
          <w:tcPr>
            <w:tcW w:w="1920" w:type="dxa"/>
            <w:vAlign w:val="bottom"/>
            <w:tcBorders>
              <w:top w:val="single" w:sz="8" w:color="CCEEFF"/>
            </w:tcBorders>
            <w:shd w:val="clear" w:color="auto" w:fill="CCEEFF"/>
          </w:tcPr>
          <w:p>
            <w:pPr>
              <w:ind w:left="40"/>
              <w:spacing w:after="0" w:line="129" w:lineRule="exact"/>
              <w:rPr>
                <w:sz w:val="20"/>
                <w:szCs w:val="20"/>
                <w:color w:val="auto"/>
              </w:rPr>
            </w:pPr>
            <w:r>
              <w:rPr>
                <w:rFonts w:ascii="Arial" w:cs="Arial" w:eastAsia="Arial" w:hAnsi="Arial"/>
                <w:sz w:val="13"/>
                <w:szCs w:val="13"/>
                <w:b w:val="1"/>
                <w:bCs w:val="1"/>
                <w:i w:val="1"/>
                <w:iCs w:val="1"/>
                <w:color w:val="auto"/>
              </w:rPr>
              <w:t>Derivatives in cash flow</w:t>
            </w: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ind w:left="40"/>
              <w:spacing w:after="0"/>
              <w:rPr>
                <w:sz w:val="20"/>
                <w:szCs w:val="20"/>
                <w:color w:val="auto"/>
              </w:rPr>
            </w:pPr>
            <w:r>
              <w:rPr>
                <w:rFonts w:ascii="Arial" w:cs="Arial" w:eastAsia="Arial" w:hAnsi="Arial"/>
                <w:sz w:val="13"/>
                <w:szCs w:val="13"/>
                <w:b w:val="1"/>
                <w:bCs w:val="1"/>
                <w:i w:val="1"/>
                <w:iCs w:val="1"/>
                <w:color w:val="auto"/>
              </w:rPr>
              <w:t>hedging relationships</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2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(12,895)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(12,895)</w:t>
            </w: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42"/>
        </w:trPr>
        <w:tc>
          <w:tcPr>
            <w:tcW w:w="1920" w:type="dxa"/>
            <w:vAlign w:val="bottom"/>
          </w:tcPr>
          <w:p>
            <w:pPr>
              <w:ind w:left="40"/>
              <w:spacing w:after="0" w:line="142" w:lineRule="exact"/>
              <w:rPr>
                <w:sz w:val="20"/>
                <w:szCs w:val="20"/>
                <w:color w:val="auto"/>
              </w:rPr>
            </w:pPr>
            <w:r>
              <w:rPr>
                <w:rFonts w:ascii="Arial" w:cs="Arial" w:eastAsia="Arial" w:hAnsi="Arial"/>
                <w:sz w:val="13"/>
                <w:szCs w:val="13"/>
                <w:b w:val="1"/>
                <w:bCs w:val="1"/>
                <w:i w:val="1"/>
                <w:iCs w:val="1"/>
                <w:color w:val="auto"/>
              </w:rPr>
              <w:t>Derivatives in net investment</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hedging relationships</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4,514</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0" w:type="dxa"/>
            <w:vAlign w:val="bottom"/>
          </w:tcPr>
          <w:p>
            <w:pPr>
              <w:spacing w:after="0"/>
              <w:rPr>
                <w:sz w:val="1"/>
                <w:szCs w:val="1"/>
                <w:color w:val="auto"/>
              </w:rPr>
            </w:pPr>
          </w:p>
        </w:tc>
      </w:tr>
      <w:tr>
        <w:trPr>
          <w:trHeight w:val="174"/>
        </w:trPr>
        <w:tc>
          <w:tcPr>
            <w:tcW w:w="1920" w:type="dxa"/>
            <w:vAlign w:val="bottom"/>
          </w:tcPr>
          <w:p>
            <w:pPr>
              <w:ind w:left="40"/>
              <w:spacing w:after="0"/>
              <w:rPr>
                <w:sz w:val="20"/>
                <w:szCs w:val="20"/>
                <w:color w:val="auto"/>
              </w:rPr>
            </w:pPr>
            <w:r>
              <w:rPr>
                <w:rFonts w:ascii="Arial" w:cs="Arial" w:eastAsia="Arial" w:hAnsi="Arial"/>
                <w:sz w:val="14"/>
                <w:szCs w:val="14"/>
                <w:color w:val="auto"/>
              </w:rPr>
              <w:t>Total derivatives designated</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71"/>
              <w:spacing w:after="0"/>
              <w:rPr>
                <w:sz w:val="20"/>
                <w:szCs w:val="20"/>
                <w:color w:val="auto"/>
              </w:rPr>
            </w:pPr>
            <w:r>
              <w:rPr>
                <w:rFonts w:ascii="Arial" w:cs="Arial" w:eastAsia="Arial" w:hAnsi="Arial"/>
                <w:sz w:val="14"/>
                <w:szCs w:val="14"/>
                <w:color w:val="auto"/>
              </w:rPr>
              <w:t>4,658</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4,658</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(16,207)</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(16,207)</w:t>
            </w:r>
          </w:p>
        </w:tc>
        <w:tc>
          <w:tcPr>
            <w:tcW w:w="0" w:type="dxa"/>
            <w:vAlign w:val="bottom"/>
          </w:tcPr>
          <w:p>
            <w:pPr>
              <w:spacing w:after="0"/>
              <w:rPr>
                <w:sz w:val="1"/>
                <w:szCs w:val="1"/>
                <w:color w:val="auto"/>
              </w:rPr>
            </w:pPr>
          </w:p>
        </w:tc>
      </w:tr>
      <w:tr>
        <w:trPr>
          <w:trHeight w:val="171"/>
        </w:trPr>
        <w:tc>
          <w:tcPr>
            <w:tcW w:w="192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19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92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assets /</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20" w:type="dxa"/>
            <w:vAlign w:val="bottom"/>
          </w:tcPr>
          <w:p>
            <w:pPr>
              <w:ind w:left="4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11,865</w:t>
            </w:r>
          </w:p>
        </w:tc>
        <w:tc>
          <w:tcPr>
            <w:tcW w:w="1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10,754</w:t>
            </w:r>
          </w:p>
        </w:tc>
        <w:tc>
          <w:tcPr>
            <w:tcW w:w="12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 /</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4,793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4,765</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4"/>
        </w:trPr>
        <w:tc>
          <w:tcPr>
            <w:tcW w:w="1920" w:type="dxa"/>
            <w:vAlign w:val="bottom"/>
          </w:tcPr>
          <w:p>
            <w:pPr>
              <w:ind w:left="40"/>
              <w:spacing w:after="0"/>
              <w:rPr>
                <w:sz w:val="20"/>
                <w:szCs w:val="20"/>
                <w:color w:val="auto"/>
              </w:rPr>
            </w:pPr>
            <w:r>
              <w:rPr>
                <w:rFonts w:ascii="Arial" w:cs="Arial" w:eastAsia="Arial" w:hAnsi="Arial"/>
                <w:sz w:val="14"/>
                <w:szCs w:val="14"/>
                <w:color w:val="auto"/>
              </w:rPr>
              <w:t>Total derivatives not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40"/>
              <w:spacing w:after="0"/>
              <w:rPr>
                <w:sz w:val="20"/>
                <w:szCs w:val="20"/>
                <w:color w:val="auto"/>
              </w:rPr>
            </w:pPr>
            <w:r>
              <w:rPr>
                <w:rFonts w:ascii="Arial" w:cs="Arial" w:eastAsia="Arial" w:hAnsi="Arial"/>
                <w:sz w:val="14"/>
                <w:szCs w:val="14"/>
                <w:color w:val="auto"/>
              </w:rPr>
              <w:t>designated as hedging</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71"/>
              <w:spacing w:after="0"/>
              <w:rPr>
                <w:sz w:val="20"/>
                <w:szCs w:val="20"/>
                <w:color w:val="auto"/>
              </w:rPr>
            </w:pPr>
            <w:r>
              <w:rPr>
                <w:rFonts w:ascii="Arial" w:cs="Arial" w:eastAsia="Arial" w:hAnsi="Arial"/>
                <w:sz w:val="14"/>
                <w:szCs w:val="14"/>
                <w:color w:val="auto"/>
              </w:rPr>
              <w:t>16,658</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(1,139)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15,519</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5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76"/>
        </w:trPr>
        <w:tc>
          <w:tcPr>
            <w:tcW w:w="1920" w:type="dxa"/>
            <w:vAlign w:val="bottom"/>
          </w:tcPr>
          <w:p>
            <w:pPr>
              <w:ind w:left="40"/>
              <w:spacing w:after="0"/>
              <w:rPr>
                <w:sz w:val="20"/>
                <w:szCs w:val="20"/>
                <w:color w:val="auto"/>
              </w:rPr>
            </w:pPr>
            <w:r>
              <w:rPr>
                <w:rFonts w:ascii="Arial" w:cs="Arial" w:eastAsia="Arial" w:hAnsi="Arial"/>
                <w:sz w:val="14"/>
                <w:szCs w:val="14"/>
                <w:color w:val="auto"/>
              </w:rPr>
              <w:t>instruments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940" w:firstLine="648"/>
        <w:spacing w:after="0" w:line="261" w:lineRule="auto"/>
        <w:rPr>
          <w:sz w:val="20"/>
          <w:szCs w:val="20"/>
          <w:color w:val="auto"/>
        </w:rPr>
      </w:pPr>
      <w:r>
        <w:rPr>
          <w:rFonts w:ascii="Arial" w:cs="Arial" w:eastAsia="Arial" w:hAnsi="Arial"/>
          <w:sz w:val="18"/>
          <w:szCs w:val="18"/>
          <w:color w:val="auto"/>
        </w:rPr>
        <w:t>The following table presents the effect of our derivative financial instruments designated as hedging instruments and their classification within comprehensive (loss) income for the years ended June 30, 2020, 2019 and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00" w:type="dxa"/>
            <w:vAlign w:val="bottom"/>
          </w:tcPr>
          <w:p>
            <w:pPr>
              <w:spacing w:after="0"/>
              <w:rPr>
                <w:sz w:val="15"/>
                <w:szCs w:val="15"/>
                <w:color w:val="auto"/>
              </w:rPr>
            </w:pPr>
          </w:p>
        </w:tc>
        <w:tc>
          <w:tcPr>
            <w:tcW w:w="494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96"/>
              </w:rPr>
              <w:t>Amount of Net (Loss) Gain on Derivatives Recognized in Comprehensive Income</w:t>
            </w:r>
          </w:p>
        </w:tc>
      </w:tr>
      <w:tr>
        <w:trPr>
          <w:trHeight w:val="250"/>
        </w:trPr>
        <w:tc>
          <w:tcPr>
            <w:tcW w:w="63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 June 30,</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2018</w:t>
            </w:r>
          </w:p>
        </w:tc>
      </w:tr>
      <w:tr>
        <w:trPr>
          <w:trHeight w:val="270"/>
        </w:trPr>
        <w:tc>
          <w:tcPr>
            <w:tcW w:w="6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6300" w:type="dxa"/>
            <w:vAlign w:val="bottom"/>
          </w:tcPr>
          <w:p>
            <w:pPr>
              <w:ind w:left="40"/>
              <w:spacing w:after="0"/>
              <w:rPr>
                <w:sz w:val="20"/>
                <w:szCs w:val="20"/>
                <w:color w:val="auto"/>
              </w:rPr>
            </w:pPr>
            <w:r>
              <w:rPr>
                <w:rFonts w:ascii="Arial" w:cs="Arial" w:eastAsia="Arial" w:hAnsi="Arial"/>
                <w:sz w:val="16"/>
                <w:szCs w:val="16"/>
                <w:color w:val="auto"/>
              </w:rPr>
              <w:t>Interest rate swaps (1)</w:t>
            </w:r>
          </w:p>
        </w:tc>
        <w:tc>
          <w:tcPr>
            <w:tcW w:w="940" w:type="dxa"/>
            <w:vAlign w:val="bottom"/>
          </w:tcPr>
          <w:p>
            <w:pPr>
              <w:jc w:val="right"/>
              <w:ind w:right="748"/>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(28,259)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(20,400)</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8,545</w:t>
            </w:r>
          </w:p>
        </w:tc>
      </w:tr>
      <w:tr>
        <w:trPr>
          <w:trHeight w:val="28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9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2,976</w:t>
            </w:r>
          </w:p>
        </w:tc>
      </w:tr>
      <w:tr>
        <w:trPr>
          <w:trHeight w:val="264"/>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6,557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r>
      <w:tr>
        <w:trPr>
          <w:trHeight w:val="263"/>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14,726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w:t>
            </w:r>
          </w:p>
        </w:tc>
      </w:tr>
      <w:tr>
        <w:trPr>
          <w:trHeight w:val="24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6,555</w:t>
            </w:r>
          </w:p>
        </w:tc>
      </w:tr>
      <w:tr>
        <w:trPr>
          <w:trHeight w:val="20"/>
        </w:trPr>
        <w:tc>
          <w:tcPr>
            <w:tcW w:w="6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78" w:lineRule="exact"/>
        <w:rPr>
          <w:sz w:val="20"/>
          <w:szCs w:val="20"/>
          <w:color w:val="auto"/>
        </w:rPr>
      </w:pPr>
    </w:p>
    <w:p>
      <w:pPr>
        <w:ind w:left="260" w:right="120" w:hanging="252"/>
        <w:spacing w:after="0" w:line="249" w:lineRule="auto"/>
        <w:tabs>
          <w:tab w:leader="none" w:pos="233" w:val="left"/>
        </w:tabs>
        <w:numPr>
          <w:ilvl w:val="0"/>
          <w:numId w:val="52"/>
        </w:numPr>
        <w:rPr>
          <w:rFonts w:ascii="Arial" w:cs="Arial" w:eastAsia="Arial" w:hAnsi="Arial"/>
          <w:sz w:val="14"/>
          <w:szCs w:val="14"/>
          <w:color w:val="auto"/>
        </w:rPr>
      </w:pPr>
      <w:r>
        <w:rPr>
          <w:rFonts w:ascii="Arial" w:cs="Arial" w:eastAsia="Arial" w:hAnsi="Arial"/>
          <w:sz w:val="14"/>
          <w:szCs w:val="14"/>
          <w:color w:val="auto"/>
        </w:rPr>
        <w:t>Upon transitioning to the new hedge accounting standard on July 1, 2019, we reversed the cumulative effect of expense recognized for the ineffective portion of our interest rate swap contracts that are designated as hedging instruments, which resulted in an adjustment to accumulated other comprehensive loss of $153, net of tax, which is included within the interest rate swap loss recognized for the year ended June 30,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685" w:right="339" w:bottom="1440" w:gutter="0" w:footer="0" w:header="0"/>
        </w:sectPr>
      </w:pPr>
    </w:p>
    <w:bookmarkStart w:id="83" w:name="page84"/>
    <w:bookmarkEnd w:id="83"/>
    <w:p>
      <w:pPr>
        <w:ind w:right="60" w:firstLine="648"/>
        <w:spacing w:after="0" w:line="261"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years ended June 30, 2020, 2019 and 2018: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20" w:type="dxa"/>
            <w:vAlign w:val="bottom"/>
            <w:gridSpan w:val="8"/>
          </w:tcPr>
          <w:p>
            <w:pPr>
              <w:jc w:val="center"/>
              <w:spacing w:after="0"/>
              <w:rPr>
                <w:sz w:val="20"/>
                <w:szCs w:val="20"/>
                <w:color w:val="auto"/>
              </w:rPr>
            </w:pPr>
            <w:r>
              <w:rPr>
                <w:rFonts w:ascii="Arial" w:cs="Arial" w:eastAsia="Arial" w:hAnsi="Arial"/>
                <w:sz w:val="13"/>
                <w:szCs w:val="13"/>
                <w:b w:val="1"/>
                <w:bCs w:val="1"/>
                <w:color w:val="auto"/>
                <w:w w:val="96"/>
              </w:rPr>
              <w:t>Amount of Net Gain (Loss) Reclassified from Accumulated Other</w:t>
            </w: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77"/>
        </w:trPr>
        <w:tc>
          <w:tcPr>
            <w:tcW w:w="3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left="2"/>
              <w:spacing w:after="0"/>
              <w:rPr>
                <w:sz w:val="20"/>
                <w:szCs w:val="20"/>
                <w:color w:val="auto"/>
              </w:rPr>
            </w:pPr>
            <w:r>
              <w:rPr>
                <w:rFonts w:ascii="Arial" w:cs="Arial" w:eastAsia="Arial" w:hAnsi="Arial"/>
                <w:sz w:val="13"/>
                <w:szCs w:val="13"/>
                <w:b w:val="1"/>
                <w:bCs w:val="1"/>
                <w:color w:val="auto"/>
                <w:w w:val="97"/>
              </w:rPr>
              <w:t>Comprehensive Income (Loss) into Income</w:t>
            </w:r>
          </w:p>
        </w:tc>
        <w:tc>
          <w:tcPr>
            <w:tcW w:w="9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263"/>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5"/>
              </w:rPr>
              <w:t>Year Ended June 30,</w:t>
            </w: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80" w:type="dxa"/>
            <w:vAlign w:val="bottom"/>
          </w:tcPr>
          <w:p>
            <w:pPr>
              <w:spacing w:after="0"/>
              <w:rPr>
                <w:sz w:val="22"/>
                <w:szCs w:val="22"/>
                <w:color w:val="auto"/>
              </w:rPr>
            </w:pPr>
          </w:p>
        </w:tc>
      </w:tr>
      <w:tr>
        <w:trPr>
          <w:trHeight w:val="263"/>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2018</w:t>
            </w:r>
          </w:p>
        </w:tc>
        <w:tc>
          <w:tcPr>
            <w:tcW w:w="2680" w:type="dxa"/>
            <w:vAlign w:val="bottom"/>
          </w:tcPr>
          <w:p>
            <w:pPr>
              <w:spacing w:after="0"/>
              <w:rPr>
                <w:sz w:val="22"/>
                <w:szCs w:val="22"/>
                <w:color w:val="auto"/>
              </w:rPr>
            </w:pPr>
          </w:p>
        </w:tc>
      </w:tr>
      <w:tr>
        <w:trPr>
          <w:trHeight w:val="264"/>
        </w:trPr>
        <w:tc>
          <w:tcPr>
            <w:tcW w:w="394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76"/>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w:t>
            </w: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Interest expense, net</w:t>
            </w:r>
          </w:p>
        </w:tc>
      </w:tr>
      <w:tr>
        <w:trPr>
          <w:trHeight w:val="264"/>
        </w:trPr>
        <w:tc>
          <w:tcPr>
            <w:tcW w:w="3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Cross-currency swaps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5,098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2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Other income (expense), net</w:t>
            </w:r>
          </w:p>
        </w:tc>
      </w:tr>
      <w:tr>
        <w:trPr>
          <w:trHeight w:val="270"/>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before income tax</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7,624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5,242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Income before income taxes</w:t>
            </w:r>
          </w:p>
        </w:tc>
      </w:tr>
      <w:tr>
        <w:trPr>
          <w:trHeight w:val="264"/>
        </w:trPr>
        <w:tc>
          <w:tcPr>
            <w:tcW w:w="3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Income tax</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(1,850)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349</w:t>
            </w:r>
          </w:p>
        </w:tc>
        <w:tc>
          <w:tcPr>
            <w:tcW w:w="2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 tax (benefit) expense</w:t>
            </w:r>
          </w:p>
        </w:tc>
      </w:tr>
      <w:tr>
        <w:trPr>
          <w:trHeight w:val="24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5,774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3,932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the years ended June 30, 2020, 2019 and 2018 for derivative instruments for which we did not elect hedge accounting and de-designated derivative financial instruments that no longer qualify as hedging instruments in the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77"/>
        </w:trPr>
        <w:tc>
          <w:tcPr>
            <w:tcW w:w="3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Amount of Gain (Loss) Recognized in Net Income</w:t>
            </w:r>
          </w:p>
        </w:tc>
        <w:tc>
          <w:tcPr>
            <w:tcW w:w="8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263"/>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80" w:type="dxa"/>
            <w:vAlign w:val="bottom"/>
          </w:tcPr>
          <w:p>
            <w:pPr>
              <w:spacing w:after="0"/>
              <w:rPr>
                <w:sz w:val="22"/>
                <w:szCs w:val="22"/>
                <w:color w:val="auto"/>
              </w:rPr>
            </w:pPr>
          </w:p>
        </w:tc>
      </w:tr>
      <w:tr>
        <w:trPr>
          <w:trHeight w:val="263"/>
        </w:trPr>
        <w:tc>
          <w:tcPr>
            <w:tcW w:w="3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w w:val="89"/>
              </w:rPr>
              <w:t>2018</w:t>
            </w:r>
          </w:p>
        </w:tc>
        <w:tc>
          <w:tcPr>
            <w:tcW w:w="2680" w:type="dxa"/>
            <w:vAlign w:val="bottom"/>
            <w:tcBorders>
              <w:bottom w:val="single" w:sz="8" w:color="CCEEFF"/>
            </w:tcBorders>
          </w:tcPr>
          <w:p>
            <w:pPr>
              <w:spacing w:after="0"/>
              <w:rPr>
                <w:sz w:val="22"/>
                <w:szCs w:val="22"/>
                <w:color w:val="auto"/>
              </w:rPr>
            </w:pPr>
          </w:p>
        </w:tc>
      </w:tr>
      <w:tr>
        <w:trPr>
          <w:trHeight w:val="257"/>
        </w:trPr>
        <w:tc>
          <w:tcPr>
            <w:tcW w:w="3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Currency contracts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20,882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24,215</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2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income (expense), net</w:t>
            </w:r>
          </w:p>
        </w:tc>
      </w:tr>
      <w:tr>
        <w:trPr>
          <w:trHeight w:val="264"/>
        </w:trPr>
        <w:tc>
          <w:tcPr>
            <w:tcW w:w="3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Interest rate swaps (1)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255</w:t>
            </w:r>
          </w:p>
        </w:tc>
        <w:tc>
          <w:tcPr>
            <w:tcW w:w="2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Other income (expense), net</w:t>
            </w:r>
          </w:p>
        </w:tc>
      </w:tr>
      <w:tr>
        <w:trPr>
          <w:trHeight w:val="24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20,564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23,494</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78" w:lineRule="exact"/>
        <w:rPr>
          <w:sz w:val="20"/>
          <w:szCs w:val="20"/>
          <w:color w:val="auto"/>
        </w:rPr>
      </w:pPr>
    </w:p>
    <w:p>
      <w:pPr>
        <w:ind w:left="260" w:hanging="252"/>
        <w:spacing w:after="0" w:line="247" w:lineRule="auto"/>
        <w:tabs>
          <w:tab w:leader="none" w:pos="233" w:val="left"/>
        </w:tabs>
        <w:numPr>
          <w:ilvl w:val="0"/>
          <w:numId w:val="53"/>
        </w:numPr>
        <w:rPr>
          <w:rFonts w:ascii="Arial" w:cs="Arial" w:eastAsia="Arial" w:hAnsi="Arial"/>
          <w:sz w:val="14"/>
          <w:szCs w:val="14"/>
          <w:color w:val="auto"/>
        </w:rPr>
      </w:pPr>
      <w:r>
        <w:rPr>
          <w:rFonts w:ascii="Arial" w:cs="Arial" w:eastAsia="Arial" w:hAnsi="Arial"/>
          <w:sz w:val="14"/>
          <w:szCs w:val="14"/>
          <w:color w:val="auto"/>
        </w:rPr>
        <w:t>Upon our adoption of the new hedge accounting standard on July 1, 2019, we prospectively recognize any ineffectiveness associated with effective and designated hedges within accumulated other comprehensive loss, rather than in earnings. In the fourth quarter of fiscal 2020, we de-designated three of our interest rate swaps and therefore no longer apply hedge accounting. Subsequent to their de-designation, we recognize any fair value adjustments to those instruments in other income (expense), net, as included in the table above.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35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5. Accumulated Other Comprehensive Income (Loss)</w:t>
      </w:r>
    </w:p>
    <w:p>
      <w:pPr>
        <w:spacing w:after="0" w:line="220"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income (loss) by component, net of tax of $1,709, $5,901 and $1,371 for the years ended June 30, 2020, 2019 and 2018:</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Gains (losses) on</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Translation</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35"/>
        </w:trPr>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pension benefit</w:t>
            </w:r>
          </w:p>
        </w:tc>
        <w:tc>
          <w:tcPr>
            <w:tcW w:w="14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adjustments, net of</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7"/>
        </w:trPr>
        <w:tc>
          <w:tcPr>
            <w:tcW w:w="5520" w:type="dxa"/>
            <w:vAlign w:val="bottom"/>
          </w:tcPr>
          <w:p>
            <w:pPr>
              <w:spacing w:after="0"/>
              <w:rPr>
                <w:sz w:val="15"/>
                <w:szCs w:val="15"/>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cash flow hedges (1)</w:t>
            </w:r>
          </w:p>
        </w:tc>
        <w:tc>
          <w:tcPr>
            <w:tcW w:w="1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obligation</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hedges (2)</w:t>
            </w:r>
          </w:p>
        </w:tc>
        <w:tc>
          <w:tcPr>
            <w:tcW w:w="340" w:type="dxa"/>
            <w:vAlign w:val="bottom"/>
          </w:tcPr>
          <w:p>
            <w:pPr>
              <w:spacing w:after="0"/>
              <w:rPr>
                <w:sz w:val="15"/>
                <w:szCs w:val="15"/>
                <w:color w:val="auto"/>
              </w:rPr>
            </w:pPr>
          </w:p>
        </w:tc>
        <w:tc>
          <w:tcPr>
            <w:tcW w:w="1020" w:type="dxa"/>
            <w:vAlign w:val="bottom"/>
          </w:tcPr>
          <w:p>
            <w:pPr>
              <w:jc w:val="right"/>
              <w:ind w:right="440"/>
              <w:spacing w:after="0"/>
              <w:rPr>
                <w:sz w:val="20"/>
                <w:szCs w:val="20"/>
                <w:color w:val="auto"/>
              </w:rPr>
            </w:pPr>
            <w:r>
              <w:rPr>
                <w:rFonts w:ascii="Arial" w:cs="Arial" w:eastAsia="Arial" w:hAnsi="Arial"/>
                <w:sz w:val="13"/>
                <w:szCs w:val="13"/>
                <w:b w:val="1"/>
                <w:bCs w:val="1"/>
                <w:color w:val="auto"/>
              </w:rPr>
              <w:t>Total</w:t>
            </w:r>
          </w:p>
        </w:tc>
      </w:tr>
      <w:tr>
        <w:trPr>
          <w:trHeight w:val="243"/>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(110,791)</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(113,398)</w:t>
            </w:r>
          </w:p>
        </w:tc>
      </w:tr>
      <w:tr>
        <w:trPr>
          <w:trHeight w:val="218"/>
        </w:trPr>
        <w:tc>
          <w:tcPr>
            <w:tcW w:w="552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 comprehensive loss to</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4"/>
        </w:trPr>
        <w:tc>
          <w:tcPr>
            <w:tcW w:w="552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53"/>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before reclassifications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32,782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44,362</w:t>
            </w:r>
          </w:p>
        </w:tc>
      </w:tr>
      <w:tr>
        <w:trPr>
          <w:trHeight w:val="218"/>
        </w:trPr>
        <w:tc>
          <w:tcPr>
            <w:tcW w:w="5520" w:type="dxa"/>
            <w:vAlign w:val="bottom"/>
          </w:tcPr>
          <w:p>
            <w:pPr>
              <w:ind w:left="40"/>
              <w:spacing w:after="0"/>
              <w:rPr>
                <w:sz w:val="20"/>
                <w:szCs w:val="20"/>
                <w:color w:val="auto"/>
              </w:rPr>
            </w:pPr>
            <w:r>
              <w:rPr>
                <w:rFonts w:ascii="Arial" w:cs="Arial" w:eastAsia="Arial" w:hAnsi="Arial"/>
                <w:sz w:val="16"/>
                <w:szCs w:val="16"/>
                <w:color w:val="auto"/>
              </w:rPr>
              <w:t>Amounts reclassified from accumulated other comprehensive loss to net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5520" w:type="dxa"/>
            <w:vAlign w:val="bottom"/>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43"/>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10,561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32,782</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43,700</w:t>
            </w:r>
          </w:p>
        </w:tc>
      </w:tr>
      <w:tr>
        <w:trPr>
          <w:trHeight w:val="230"/>
        </w:trPr>
        <w:tc>
          <w:tcPr>
            <w:tcW w:w="5520" w:type="dxa"/>
            <w:vAlign w:val="bottom"/>
          </w:tcPr>
          <w:p>
            <w:pPr>
              <w:ind w:left="40"/>
              <w:spacing w:after="0"/>
              <w:rPr>
                <w:sz w:val="20"/>
                <w:szCs w:val="20"/>
                <w:color w:val="auto"/>
              </w:rPr>
            </w:pPr>
            <w:r>
              <w:rPr>
                <w:rFonts w:ascii="Arial" w:cs="Arial" w:eastAsia="Arial" w:hAnsi="Arial"/>
                <w:sz w:val="16"/>
                <w:szCs w:val="16"/>
                <w:color w:val="auto"/>
              </w:rPr>
              <w:t>Balance as of June 30, 2018</w:t>
            </w:r>
          </w:p>
        </w:tc>
        <w:tc>
          <w:tcPr>
            <w:tcW w:w="1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(69,814)</w:t>
            </w:r>
          </w:p>
        </w:tc>
      </w:tr>
      <w:tr>
        <w:trPr>
          <w:trHeight w:val="256"/>
        </w:trPr>
        <w:tc>
          <w:tcPr>
            <w:tcW w:w="5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9,638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(13,975)</w:t>
            </w:r>
          </w:p>
        </w:tc>
      </w:tr>
      <w:tr>
        <w:trPr>
          <w:trHeight w:val="218"/>
        </w:trPr>
        <w:tc>
          <w:tcPr>
            <w:tcW w:w="552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 comprehensive loss to net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5520" w:type="dxa"/>
            <w:vAlign w:val="bottom"/>
          </w:tcPr>
          <w:p>
            <w:pPr>
              <w:ind w:left="18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3,932</w:t>
            </w:r>
          </w:p>
        </w:tc>
      </w:tr>
      <w:tr>
        <w:trPr>
          <w:trHeight w:val="257"/>
        </w:trPr>
        <w:tc>
          <w:tcPr>
            <w:tcW w:w="5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(19,477)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9,638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(10,043)</w:t>
            </w:r>
          </w:p>
        </w:tc>
      </w:tr>
      <w:tr>
        <w:trPr>
          <w:trHeight w:val="24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as of June 30, 2019</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(79,857)</w:t>
            </w:r>
          </w:p>
        </w:tc>
      </w:tr>
      <w:tr>
        <w:trPr>
          <w:trHeight w:val="257"/>
        </w:trPr>
        <w:tc>
          <w:tcPr>
            <w:tcW w:w="5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11,172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(14,593)</w:t>
            </w:r>
          </w:p>
        </w:tc>
      </w:tr>
      <w:tr>
        <w:trPr>
          <w:trHeight w:val="218"/>
        </w:trPr>
        <w:tc>
          <w:tcPr>
            <w:tcW w:w="5520" w:type="dxa"/>
            <w:vAlign w:val="bottom"/>
          </w:tcPr>
          <w:p>
            <w:pPr>
              <w:ind w:left="180"/>
              <w:spacing w:after="0"/>
              <w:rPr>
                <w:sz w:val="20"/>
                <w:szCs w:val="20"/>
                <w:color w:val="auto"/>
              </w:rPr>
            </w:pPr>
            <w:r>
              <w:rPr>
                <w:rFonts w:ascii="Arial" w:cs="Arial" w:eastAsia="Arial" w:hAnsi="Arial"/>
                <w:sz w:val="16"/>
                <w:szCs w:val="16"/>
                <w:color w:val="auto"/>
              </w:rPr>
              <w:t>Amounts reclassified from accumulated other comprehensive loss to net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5520" w:type="dxa"/>
            <w:vAlign w:val="bottom"/>
          </w:tcPr>
          <w:p>
            <w:pPr>
              <w:ind w:left="180"/>
              <w:spacing w:after="0"/>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5,774</w:t>
            </w:r>
          </w:p>
        </w:tc>
      </w:tr>
      <w:tr>
        <w:trPr>
          <w:trHeight w:val="250"/>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11,172</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(8,819)</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Balance as of June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(88,676)</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18"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 swap and cross-currency swap contracts designated in cash flow hedging relationships.</w:t>
      </w:r>
    </w:p>
    <w:p>
      <w:pPr>
        <w:spacing w:after="0" w:line="1" w:lineRule="exact"/>
        <w:rPr>
          <w:rFonts w:ascii="Arial" w:cs="Arial" w:eastAsia="Arial" w:hAnsi="Arial"/>
          <w:sz w:val="14"/>
          <w:szCs w:val="14"/>
          <w:color w:val="auto"/>
        </w:rPr>
      </w:pPr>
    </w:p>
    <w:p>
      <w:pPr>
        <w:ind w:left="260" w:right="40" w:hanging="252"/>
        <w:spacing w:after="0" w:line="258" w:lineRule="auto"/>
        <w:tabs>
          <w:tab w:leader="none" w:pos="233"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 of June 30, 2020, 2019 and 2018, the translation adjustment is inclusive of the effects of our net investment hedges, of which, unrealized gains of $20,509 and unrealized losses of $731 and $22,014, respectively, net of tax, have been included in accumulated other comprehensive loss.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60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3"/>
                <w:szCs w:val="13"/>
                <w:b w:val="1"/>
                <w:bCs w:val="1"/>
                <w:color w:val="auto"/>
              </w:rPr>
              <w:t>June 30,</w:t>
            </w:r>
          </w:p>
        </w:tc>
        <w:tc>
          <w:tcPr>
            <w:tcW w:w="980" w:type="dxa"/>
            <w:vAlign w:val="bottom"/>
            <w:tcBorders>
              <w:bottom w:val="single" w:sz="8" w:color="auto"/>
            </w:tcBorders>
          </w:tcPr>
          <w:p>
            <w:pPr>
              <w:spacing w:after="0"/>
              <w:rPr>
                <w:sz w:val="15"/>
                <w:szCs w:val="15"/>
                <w:color w:val="auto"/>
              </w:rPr>
            </w:pPr>
          </w:p>
        </w:tc>
      </w:tr>
      <w:tr>
        <w:trPr>
          <w:trHeight w:val="263"/>
        </w:trPr>
        <w:tc>
          <w:tcPr>
            <w:tcW w:w="5740" w:type="dxa"/>
            <w:vAlign w:val="bottom"/>
            <w:tcBorders>
              <w:bottom w:val="single" w:sz="8" w:color="CCEEFF"/>
            </w:tcBorders>
          </w:tcPr>
          <w:p>
            <w:pPr>
              <w:spacing w:after="0"/>
              <w:rPr>
                <w:sz w:val="22"/>
                <w:szCs w:val="22"/>
                <w:color w:val="auto"/>
              </w:rPr>
            </w:pPr>
          </w:p>
        </w:tc>
        <w:tc>
          <w:tcPr>
            <w:tcW w:w="258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Estimated useful lives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r>
      <w:tr>
        <w:trPr>
          <w:trHeight w:val="257"/>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 improvements</w:t>
            </w: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 years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4,975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4,804</w:t>
            </w: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Building and building improvements (1)</w:t>
            </w:r>
          </w:p>
        </w:tc>
        <w:tc>
          <w:tcPr>
            <w:tcW w:w="2700" w:type="dxa"/>
            <w:vAlign w:val="bottom"/>
            <w:gridSpan w:val="2"/>
          </w:tcPr>
          <w:p>
            <w:pPr>
              <w:jc w:val="right"/>
              <w:ind w:right="140"/>
              <w:spacing w:after="0"/>
              <w:rPr>
                <w:sz w:val="20"/>
                <w:szCs w:val="20"/>
                <w:color w:val="auto"/>
              </w:rPr>
            </w:pPr>
            <w:r>
              <w:rPr>
                <w:rFonts w:ascii="Arial" w:cs="Arial" w:eastAsia="Arial" w:hAnsi="Arial"/>
                <w:sz w:val="16"/>
                <w:szCs w:val="16"/>
                <w:color w:val="auto"/>
              </w:rPr>
              <w:t>10 - 30 years</w:t>
            </w:r>
          </w:p>
        </w:tc>
        <w:tc>
          <w:tcPr>
            <w:tcW w:w="3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186,873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323,516</w:t>
            </w:r>
          </w:p>
        </w:tc>
      </w:tr>
      <w:tr>
        <w:trPr>
          <w:trHeight w:val="28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production equipment</w:t>
            </w: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4 - 10 years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362,341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346,089</w:t>
            </w: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Machinery and production equipment under finance lease</w:t>
            </w:r>
          </w:p>
        </w:tc>
        <w:tc>
          <w:tcPr>
            <w:tcW w:w="2700" w:type="dxa"/>
            <w:vAlign w:val="bottom"/>
            <w:gridSpan w:val="2"/>
          </w:tcPr>
          <w:p>
            <w:pPr>
              <w:jc w:val="right"/>
              <w:ind w:right="140"/>
              <w:spacing w:after="0"/>
              <w:rPr>
                <w:sz w:val="20"/>
                <w:szCs w:val="20"/>
                <w:color w:val="auto"/>
              </w:rPr>
            </w:pPr>
            <w:r>
              <w:rPr>
                <w:rFonts w:ascii="Arial" w:cs="Arial" w:eastAsia="Arial" w:hAnsi="Arial"/>
                <w:sz w:val="16"/>
                <w:szCs w:val="16"/>
                <w:color w:val="auto"/>
              </w:rPr>
              <w:t>4 - 10 years</w:t>
            </w:r>
          </w:p>
        </w:tc>
        <w:tc>
          <w:tcPr>
            <w:tcW w:w="3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64,337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71,173</w:t>
            </w:r>
          </w:p>
        </w:tc>
      </w:tr>
      <w:tr>
        <w:trPr>
          <w:trHeight w:val="28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software and equipment</w:t>
            </w: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3 - 5 years</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160,728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158,223</w:t>
            </w: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Furniture, fixtures and office equipment</w:t>
            </w:r>
          </w:p>
        </w:tc>
        <w:tc>
          <w:tcPr>
            <w:tcW w:w="2700" w:type="dxa"/>
            <w:vAlign w:val="bottom"/>
            <w:gridSpan w:val="2"/>
          </w:tcPr>
          <w:p>
            <w:pPr>
              <w:jc w:val="right"/>
              <w:ind w:right="140"/>
              <w:spacing w:after="0"/>
              <w:rPr>
                <w:sz w:val="20"/>
                <w:szCs w:val="20"/>
                <w:color w:val="auto"/>
              </w:rPr>
            </w:pPr>
            <w:r>
              <w:rPr>
                <w:rFonts w:ascii="Arial" w:cs="Arial" w:eastAsia="Arial" w:hAnsi="Arial"/>
                <w:sz w:val="16"/>
                <w:szCs w:val="16"/>
                <w:color w:val="auto"/>
              </w:rPr>
              <w:t>5 - 7 years</w:t>
            </w:r>
          </w:p>
        </w:tc>
        <w:tc>
          <w:tcPr>
            <w:tcW w:w="3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47,823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46,237</w:t>
            </w:r>
          </w:p>
        </w:tc>
      </w:tr>
      <w:tr>
        <w:trPr>
          <w:trHeight w:val="228"/>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Shorter of lease term or expected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64,092</w:t>
            </w:r>
          </w:p>
        </w:tc>
      </w:tr>
      <w:tr>
        <w:trPr>
          <w:trHeight w:val="214"/>
        </w:trPr>
        <w:tc>
          <w:tcPr>
            <w:tcW w:w="57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life of the asset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3"/>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w:t>
            </w:r>
          </w:p>
        </w:tc>
        <w:tc>
          <w:tcPr>
            <w:tcW w:w="2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10,752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11,970</w:t>
            </w:r>
          </w:p>
        </w:tc>
      </w:tr>
      <w:tr>
        <w:trPr>
          <w:trHeight w:val="257"/>
        </w:trPr>
        <w:tc>
          <w:tcPr>
            <w:tcW w:w="574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910,901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1,026,104</w:t>
            </w:r>
          </w:p>
        </w:tc>
      </w:tr>
      <w:tr>
        <w:trPr>
          <w:trHeight w:val="263"/>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inclusive of assets under finance lease</w:t>
            </w:r>
          </w:p>
        </w:tc>
        <w:tc>
          <w:tcPr>
            <w:tcW w:w="2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(604,061)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(567,407)</w:t>
            </w:r>
          </w:p>
        </w:tc>
      </w:tr>
      <w:tr>
        <w:trPr>
          <w:trHeight w:val="257"/>
        </w:trPr>
        <w:tc>
          <w:tcPr>
            <w:tcW w:w="574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306,840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458,697</w:t>
            </w:r>
          </w:p>
        </w:tc>
      </w:tr>
      <w:tr>
        <w:trPr>
          <w:trHeight w:val="263"/>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Land</w:t>
            </w:r>
          </w:p>
        </w:tc>
        <w:tc>
          <w:tcPr>
            <w:tcW w:w="2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31,819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32,058</w:t>
            </w:r>
          </w:p>
        </w:tc>
      </w:tr>
      <w:tr>
        <w:trPr>
          <w:trHeight w:val="24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338,659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490,755</w:t>
            </w:r>
          </w:p>
        </w:tc>
      </w:tr>
      <w:tr>
        <w:trPr>
          <w:trHeight w:val="20"/>
        </w:trPr>
        <w:tc>
          <w:tcPr>
            <w:tcW w:w="5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09" w:lineRule="exact"/>
        <w:rPr>
          <w:sz w:val="20"/>
          <w:szCs w:val="20"/>
          <w:color w:val="auto"/>
        </w:rPr>
      </w:pPr>
    </w:p>
    <w:p>
      <w:pPr>
        <w:ind w:left="260" w:right="540" w:hanging="252"/>
        <w:spacing w:after="0" w:line="258" w:lineRule="auto"/>
        <w:tabs>
          <w:tab w:leader="none" w:pos="233" w:val="left"/>
        </w:tabs>
        <w:numPr>
          <w:ilvl w:val="0"/>
          <w:numId w:val="55"/>
        </w:numPr>
        <w:rPr>
          <w:rFonts w:ascii="Arial" w:cs="Arial" w:eastAsia="Arial" w:hAnsi="Arial"/>
          <w:sz w:val="14"/>
          <w:szCs w:val="14"/>
          <w:color w:val="auto"/>
        </w:rPr>
      </w:pPr>
      <w:r>
        <w:rPr>
          <w:rFonts w:ascii="Arial" w:cs="Arial" w:eastAsia="Arial" w:hAnsi="Arial"/>
          <w:sz w:val="14"/>
          <w:szCs w:val="14"/>
          <w:color w:val="auto"/>
        </w:rPr>
        <w:t>Upon our adoption of the new leasing standard on July 1, 2019, our Waltham, MA and Dallas, TX build-to-suit lease asset balances of $124,408 were de-recognized, resulting in a decrease to building and building improvements. Refer to Note 2 for additional details.</w:t>
      </w:r>
    </w:p>
    <w:p>
      <w:pPr>
        <w:spacing w:after="0" w:line="188"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Depreciation expense, inclusive of assets under finance leases, totaled $74,665, $84,558 and $87,956 for the years ended June 30, 2020, 2019 and 2018,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Build A Sign LLC</w:t>
      </w:r>
    </w:p>
    <w:p>
      <w:pPr>
        <w:spacing w:after="0" w:line="247"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October 1, 2018, we completed the acquisition of Build A Sign LLC ("BuildASign"), a vertically integrated U.S. web-to-print canvas wall décor and signage company. We acquired approximately 99% of the outstanding equity interests of BuildASign for a purchase price of $275,079 in cash, which includes a post-closing adjustment paid during the second quarter of fiscal 2019 and was based on BuildASign's cash, debt and working capital position as of the acquisition date.</w:t>
      </w:r>
    </w:p>
    <w:p>
      <w:pPr>
        <w:spacing w:after="0" w:line="20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acquisition supports our strategy of investing in and building customer-focused, entrepreneurial, mass customization businesses for the long term, which we manage in a decentralized and autonomous manner. BuildASign brings strong talent, a customer-centric culture, low-cost production operations and strong e-commerce capabilities that work seamlessly together to serve customers with market-leading prices, fast delivery and great customer service.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24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At the closing, Build A Sign Management Pool, LLC (the "Management Pool"), one of the sellers, retained approximately 1% of the outstanding equity interests of BuildASign for the benefit of certain BuildASign employees who hold equity interests in the Management Pool. We entered into a put and call option agreement with respect to the retained BuildASign equity interests, which provides the holders of the Management Pool the right to sell to us all or any portion of their shares, beginning with our fiscal year ending June 30, 2022 and for each fiscal year thereafter. We have the right to buy all (but not less than all) of the retained equity interest of any holder that is no longer an active employee of the company, beginning with our fiscal year ending June 30, 2022. The put and call purchase price is based on BuildASign's revenue growth and EBITDA for the fiscal year in which the option is exercised. Due to the presence of the put arrangement, the noncontrolling interest is presented as redeemable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522" w:right="339" w:bottom="1440" w:gutter="0" w:footer="0" w:header="0"/>
        </w:sectPr>
      </w:pPr>
    </w:p>
    <w:bookmarkStart w:id="86" w:name="page87"/>
    <w:bookmarkEnd w:id="86"/>
    <w:p>
      <w:pPr>
        <w:ind w:right="100"/>
        <w:spacing w:after="0" w:line="256" w:lineRule="auto"/>
        <w:rPr>
          <w:sz w:val="20"/>
          <w:szCs w:val="20"/>
          <w:color w:val="auto"/>
        </w:rPr>
      </w:pPr>
      <w:r>
        <w:rPr>
          <w:rFonts w:ascii="Arial" w:cs="Arial" w:eastAsia="Arial" w:hAnsi="Arial"/>
          <w:sz w:val="18"/>
          <w:szCs w:val="18"/>
          <w:color w:val="auto"/>
        </w:rPr>
        <w:t>noncontrolling interest as redemption is not solely within our control. We initially recognized the noncontrolling interest at fair value of $3,356 and will adjust the balance for the pro rata impact of the BuildASign earnings or loss, as well as adjustments to increase the balance to the redemption value, if necessary.</w:t>
      </w:r>
    </w:p>
    <w:p>
      <w:pPr>
        <w:spacing w:after="0" w:line="20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excess purchase price over the fair value of BuildASign's net assets was recorded as goodwill, which is primarily attributable to the value of its workforce, its manufacturing and marketing processes and know-how, as well as synergies which include leveraging Cimpress' scale-based sourcing channels. Goodwill is deductible for tax purposes and has been attributed to the All Other Businesses reportable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jc w:val="right"/>
              <w:ind w:right="381"/>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7"/>
        </w:trPr>
        <w:tc>
          <w:tcPr>
            <w:tcW w:w="7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Useful Life in Years</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Tangible assets acquired and liabilities assumed:</w:t>
            </w:r>
          </w:p>
        </w:tc>
        <w:tc>
          <w:tcPr>
            <w:tcW w:w="1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1280" w:type="dxa"/>
            <w:vAlign w:val="bottom"/>
          </w:tcPr>
          <w:p>
            <w:pPr>
              <w:jc w:val="right"/>
              <w:ind w:right="1085"/>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4,093</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10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128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assets (1)</w:t>
            </w:r>
          </w:p>
        </w:tc>
        <w:tc>
          <w:tcPr>
            <w:tcW w:w="1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6,937</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100" w:type="dxa"/>
            <w:vAlign w:val="bottom"/>
          </w:tcPr>
          <w:p>
            <w:pPr>
              <w:ind w:left="300"/>
              <w:spacing w:after="0"/>
              <w:rPr>
                <w:sz w:val="20"/>
                <w:szCs w:val="20"/>
                <w:color w:val="auto"/>
              </w:rPr>
            </w:pPr>
            <w:r>
              <w:rPr>
                <w:rFonts w:ascii="Arial" w:cs="Arial" w:eastAsia="Arial" w:hAnsi="Arial"/>
                <w:sz w:val="16"/>
                <w:szCs w:val="16"/>
                <w:color w:val="auto"/>
              </w:rPr>
              <w:t>Property, plant and equipment, net</w:t>
            </w:r>
          </w:p>
        </w:tc>
        <w:tc>
          <w:tcPr>
            <w:tcW w:w="128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12,080</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(3,369)</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100" w:type="dxa"/>
            <w:vAlign w:val="bottom"/>
          </w:tcPr>
          <w:p>
            <w:pPr>
              <w:ind w:left="300"/>
              <w:spacing w:after="0"/>
              <w:rPr>
                <w:sz w:val="20"/>
                <w:szCs w:val="20"/>
                <w:color w:val="auto"/>
              </w:rPr>
            </w:pPr>
            <w:r>
              <w:rPr>
                <w:rFonts w:ascii="Arial" w:cs="Arial" w:eastAsia="Arial" w:hAnsi="Arial"/>
                <w:sz w:val="16"/>
                <w:szCs w:val="16"/>
                <w:color w:val="auto"/>
              </w:rPr>
              <w:t>Accrued expenses (1)</w:t>
            </w:r>
          </w:p>
        </w:tc>
        <w:tc>
          <w:tcPr>
            <w:tcW w:w="1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(11,334)</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0"/>
        </w:trPr>
        <w:tc>
          <w:tcPr>
            <w:tcW w:w="7100" w:type="dxa"/>
            <w:vAlign w:val="bottom"/>
          </w:tcPr>
          <w:p>
            <w:pPr>
              <w:ind w:left="300"/>
              <w:spacing w:after="0"/>
              <w:rPr>
                <w:sz w:val="20"/>
                <w:szCs w:val="20"/>
                <w:color w:val="auto"/>
              </w:rPr>
            </w:pPr>
            <w:r>
              <w:rPr>
                <w:rFonts w:ascii="Arial" w:cs="Arial" w:eastAsia="Arial" w:hAnsi="Arial"/>
                <w:sz w:val="16"/>
                <w:szCs w:val="16"/>
                <w:color w:val="auto"/>
              </w:rPr>
              <w:t>Long-term liabilities</w:t>
            </w:r>
          </w:p>
        </w:tc>
        <w:tc>
          <w:tcPr>
            <w:tcW w:w="1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(3,949)</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Identifiable intangible assets:</w:t>
            </w:r>
          </w:p>
        </w:tc>
        <w:tc>
          <w:tcPr>
            <w:tcW w:w="1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380"/>
              <w:spacing w:after="0"/>
              <w:rPr>
                <w:sz w:val="20"/>
                <w:szCs w:val="20"/>
                <w:color w:val="auto"/>
              </w:rPr>
            </w:pPr>
            <w:r>
              <w:rPr>
                <w:rFonts w:ascii="Arial" w:cs="Arial" w:eastAsia="Arial" w:hAnsi="Arial"/>
                <w:sz w:val="16"/>
                <w:szCs w:val="16"/>
                <w:color w:val="auto"/>
              </w:rPr>
              <w:t>Trade name</w:t>
            </w:r>
          </w:p>
        </w:tc>
        <w:tc>
          <w:tcPr>
            <w:tcW w:w="128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47,600</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 years</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Developed technology</w:t>
            </w:r>
          </w:p>
        </w:tc>
        <w:tc>
          <w:tcPr>
            <w:tcW w:w="1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28,900</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3 - 7 years</w:t>
            </w:r>
          </w:p>
        </w:tc>
        <w:tc>
          <w:tcPr>
            <w:tcW w:w="0" w:type="dxa"/>
            <w:vAlign w:val="bottom"/>
          </w:tcPr>
          <w:p>
            <w:pPr>
              <w:spacing w:after="0"/>
              <w:rPr>
                <w:sz w:val="1"/>
                <w:szCs w:val="1"/>
                <w:color w:val="auto"/>
              </w:rPr>
            </w:pPr>
          </w:p>
        </w:tc>
      </w:tr>
      <w:tr>
        <w:trPr>
          <w:trHeight w:val="260"/>
        </w:trPr>
        <w:tc>
          <w:tcPr>
            <w:tcW w:w="7100" w:type="dxa"/>
            <w:vAlign w:val="bottom"/>
          </w:tcPr>
          <w:p>
            <w:pPr>
              <w:ind w:left="380"/>
              <w:spacing w:after="0"/>
              <w:rPr>
                <w:sz w:val="20"/>
                <w:szCs w:val="20"/>
                <w:color w:val="auto"/>
              </w:rPr>
            </w:pPr>
            <w:r>
              <w:rPr>
                <w:rFonts w:ascii="Arial" w:cs="Arial" w:eastAsia="Arial" w:hAnsi="Arial"/>
                <w:sz w:val="16"/>
                <w:szCs w:val="16"/>
                <w:color w:val="auto"/>
              </w:rPr>
              <w:t>Customer relationships</w:t>
            </w:r>
          </w:p>
        </w:tc>
        <w:tc>
          <w:tcPr>
            <w:tcW w:w="128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12,430</w:t>
            </w:r>
          </w:p>
        </w:tc>
        <w:tc>
          <w:tcPr>
            <w:tcW w:w="10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2 - 5 years</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1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Goodwill</w:t>
            </w:r>
          </w:p>
        </w:tc>
        <w:tc>
          <w:tcPr>
            <w:tcW w:w="1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186,088</w:t>
            </w:r>
          </w:p>
        </w:tc>
        <w:tc>
          <w:tcPr>
            <w:tcW w:w="10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purchase price</w:t>
            </w:r>
          </w:p>
        </w:tc>
        <w:tc>
          <w:tcPr>
            <w:tcW w:w="1280" w:type="dxa"/>
            <w:vAlign w:val="bottom"/>
            <w:tcBorders>
              <w:bottom w:val="single" w:sz="8" w:color="auto"/>
            </w:tcBorders>
            <w:shd w:val="clear" w:color="auto" w:fill="CCEEFF"/>
          </w:tcPr>
          <w:p>
            <w:pPr>
              <w:jc w:val="right"/>
              <w:ind w:right="1085"/>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275,079</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1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60" w:right="380" w:hanging="252"/>
        <w:spacing w:after="0" w:line="249" w:lineRule="auto"/>
        <w:tabs>
          <w:tab w:leader="none" w:pos="233"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connection with the BuildASign acquisition, we recorded an indemnification asset of $5,433, which represented the seller's obligation under the merger agreement to indemnify us for a portion of their potential contingent liabilities related to certain tax matters. We also recognized a contingent liability of $8,925, which represented our estimate based on guidance within ASC 450 - "Contingencies," as of the acquisition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BuildASign Pro Forma Financial Information</w:t>
      </w:r>
    </w:p>
    <w:p>
      <w:pPr>
        <w:spacing w:after="0" w:line="247"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BuildASign has been included in our consolidated financial statements starting on its acquisition date. The following unaudited pro forma financial information presents our results as if the BuildASign acquisition had occurred on July 1, 2017. The pro forma financial information for all periods presented adjusts for the effects of material business combination items, including estimated amortization of acquired intangible assets, interest associated with debt used to finance the acquisition, and transaction related costs.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June 30,</w:t>
            </w:r>
          </w:p>
        </w:tc>
        <w:tc>
          <w:tcPr>
            <w:tcW w:w="880" w:type="dxa"/>
            <w:vAlign w:val="bottom"/>
            <w:tcBorders>
              <w:bottom w:val="single" w:sz="8" w:color="auto"/>
            </w:tcBorders>
          </w:tcPr>
          <w:p>
            <w:pPr>
              <w:spacing w:after="0"/>
              <w:rPr>
                <w:sz w:val="15"/>
                <w:szCs w:val="15"/>
                <w:color w:val="auto"/>
              </w:rPr>
            </w:pPr>
          </w:p>
        </w:tc>
      </w:tr>
      <w:tr>
        <w:trPr>
          <w:trHeight w:val="264"/>
        </w:trPr>
        <w:tc>
          <w:tcPr>
            <w:tcW w:w="8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w w:val="96"/>
              </w:rPr>
              <w:t>2018</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 forma 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6"/>
                <w:szCs w:val="16"/>
                <w:color w:val="auto"/>
              </w:rPr>
              <w:t>2,783,205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2,717,785</w:t>
            </w:r>
          </w:p>
        </w:tc>
      </w:tr>
      <w:tr>
        <w:trPr>
          <w:trHeight w:val="250"/>
        </w:trPr>
        <w:tc>
          <w:tcPr>
            <w:tcW w:w="8220" w:type="dxa"/>
            <w:vAlign w:val="bottom"/>
          </w:tcPr>
          <w:p>
            <w:pPr>
              <w:ind w:left="40"/>
              <w:spacing w:after="0"/>
              <w:rPr>
                <w:sz w:val="20"/>
                <w:szCs w:val="20"/>
                <w:color w:val="auto"/>
              </w:rPr>
            </w:pPr>
            <w:r>
              <w:rPr>
                <w:rFonts w:ascii="Arial" w:cs="Arial" w:eastAsia="Arial" w:hAnsi="Arial"/>
                <w:sz w:val="16"/>
                <w:szCs w:val="16"/>
                <w:color w:val="auto"/>
              </w:rPr>
              <w:t>Pro forma net income attributable to Cimpress plc</w:t>
            </w: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6"/>
                <w:szCs w:val="16"/>
                <w:color w:val="auto"/>
              </w:rPr>
              <w:t>93,399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31,571</w:t>
            </w:r>
          </w:p>
        </w:tc>
      </w:tr>
    </w:tbl>
    <w:p>
      <w:pPr>
        <w:spacing w:after="0" w:line="200" w:lineRule="exact"/>
        <w:rPr>
          <w:sz w:val="20"/>
          <w:szCs w:val="20"/>
          <w:color w:val="auto"/>
        </w:rPr>
      </w:pPr>
    </w:p>
    <w:p>
      <w:pPr>
        <w:spacing w:after="0" w:line="224"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utilized proceeds from our credit facility in order to finance the acquisition. In connection with the acquisition, we incurred $1,140 in general and administrative expenses during the year ended June 30, 2019, primarily related to legal, financial, and other professional services.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5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Fiscal 2018 Divestiture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Albumprinter</w:t>
      </w:r>
    </w:p>
    <w:p>
      <w:pPr>
        <w:spacing w:after="0" w:line="220"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On August 31, 2017 we sold our Albumprinter business, including FotoKnudsen AS, for a total of €78,382 ($93,071 based on the exchange rate as of the date of sale) in cash, net of transaction costs and cash divested (after $11,874 in pre-closing dividends). As a result of the sale, we recognized a gain of $47,545, net of transaction costs, within our consolidated statement of operations for the year ended June 30, 2018. In connection with the divestiture, we entered into an agreement with Albumprinter under which Albumprinter will continue to fulfill photo book orders for our Vistaprint business. Additionally, we agreed to provide Albumprinter with certain transitional support services for a period of up to one year from the date of the sale.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June 30, 2020 and June 30, 2019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Vistaprint</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PrintBrothers</w:t>
            </w:r>
          </w:p>
        </w:tc>
        <w:tc>
          <w:tcPr>
            <w:tcW w:w="12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The Print Group</w:t>
            </w:r>
          </w:p>
        </w:tc>
        <w:tc>
          <w:tcPr>
            <w:tcW w:w="160" w:type="dxa"/>
            <w:vAlign w:val="bottom"/>
          </w:tcPr>
          <w:p>
            <w:pPr>
              <w:spacing w:after="0"/>
              <w:rPr>
                <w:sz w:val="13"/>
                <w:szCs w:val="13"/>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National Pen</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All Other</w:t>
            </w:r>
          </w:p>
        </w:tc>
        <w:tc>
          <w:tcPr>
            <w:tcW w:w="240" w:type="dxa"/>
            <w:vAlign w:val="bottom"/>
          </w:tcPr>
          <w:p>
            <w:pPr>
              <w:spacing w:after="0"/>
              <w:rPr>
                <w:sz w:val="13"/>
                <w:szCs w:val="13"/>
                <w:color w:val="auto"/>
              </w:rPr>
            </w:pPr>
          </w:p>
        </w:tc>
        <w:tc>
          <w:tcPr>
            <w:tcW w:w="880" w:type="dxa"/>
            <w:vAlign w:val="bottom"/>
            <w:vMerge w:val="restart"/>
          </w:tcPr>
          <w:p>
            <w:pPr>
              <w:jc w:val="right"/>
              <w:ind w:right="34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0"/>
        </w:trPr>
        <w:tc>
          <w:tcPr>
            <w:tcW w:w="3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6"/>
              </w:rPr>
              <w:t>Businesses</w:t>
            </w: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146,207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127,571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201,200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34,434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11,431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520,843</w:t>
            </w:r>
          </w:p>
        </w:tc>
        <w:tc>
          <w:tcPr>
            <w:tcW w:w="0" w:type="dxa"/>
            <w:vAlign w:val="bottom"/>
          </w:tcPr>
          <w:p>
            <w:pPr>
              <w:spacing w:after="0"/>
              <w:rPr>
                <w:sz w:val="1"/>
                <w:szCs w:val="1"/>
                <w:color w:val="auto"/>
              </w:rPr>
            </w:pP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Acquisitions (1)</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212,286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214,972</w:t>
            </w:r>
          </w:p>
        </w:tc>
        <w:tc>
          <w:tcPr>
            <w:tcW w:w="0" w:type="dxa"/>
            <w:vAlign w:val="bottom"/>
          </w:tcPr>
          <w:p>
            <w:pPr>
              <w:spacing w:after="0"/>
              <w:rPr>
                <w:sz w:val="1"/>
                <w:szCs w:val="1"/>
                <w:color w:val="auto"/>
              </w:rPr>
            </w:pP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Impairments (2)</w:t>
            </w: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(7,503)</w:t>
            </w:r>
          </w:p>
        </w:tc>
        <w:tc>
          <w:tcPr>
            <w:tcW w:w="0" w:type="dxa"/>
            <w:vAlign w:val="bottom"/>
          </w:tcPr>
          <w:p>
            <w:pPr>
              <w:spacing w:after="0"/>
              <w:rPr>
                <w:sz w:val="1"/>
                <w:szCs w:val="1"/>
                <w:color w:val="auto"/>
              </w:rPr>
            </w:pP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73"/>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currency translation adjustments (3)</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(9,251)</w:t>
            </w:r>
          </w:p>
        </w:tc>
        <w:tc>
          <w:tcPr>
            <w:tcW w:w="0" w:type="dxa"/>
            <w:vAlign w:val="bottom"/>
          </w:tcPr>
          <w:p>
            <w:pPr>
              <w:spacing w:after="0"/>
              <w:rPr>
                <w:sz w:val="1"/>
                <w:szCs w:val="1"/>
                <w:color w:val="auto"/>
              </w:rPr>
            </w:pPr>
          </w:p>
        </w:tc>
      </w:tr>
      <w:tr>
        <w:trPr>
          <w:trHeight w:val="247"/>
        </w:trPr>
        <w:tc>
          <w:tcPr>
            <w:tcW w:w="3940" w:type="dxa"/>
            <w:vAlign w:val="bottom"/>
          </w:tcPr>
          <w:p>
            <w:pPr>
              <w:ind w:left="40"/>
              <w:spacing w:after="0"/>
              <w:rPr>
                <w:sz w:val="20"/>
                <w:szCs w:val="20"/>
                <w:color w:val="auto"/>
              </w:rPr>
            </w:pPr>
            <w:r>
              <w:rPr>
                <w:rFonts w:ascii="Arial" w:cs="Arial" w:eastAsia="Arial" w:hAnsi="Arial"/>
                <w:sz w:val="16"/>
                <w:szCs w:val="16"/>
                <w:color w:val="auto"/>
              </w:rPr>
              <w:t>Balance as of June 30, 2019</w:t>
            </w: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145,961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124,089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198,363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34,434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216,033</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718,880</w:t>
            </w:r>
          </w:p>
        </w:tc>
        <w:tc>
          <w:tcPr>
            <w:tcW w:w="0" w:type="dxa"/>
            <w:vAlign w:val="bottom"/>
          </w:tcPr>
          <w:p>
            <w:pPr>
              <w:spacing w:after="0"/>
              <w:rPr>
                <w:sz w:val="1"/>
                <w:szCs w:val="1"/>
                <w:color w:val="auto"/>
              </w:rPr>
            </w:pP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Acquisitions (1)</w:t>
            </w: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6,879</w:t>
            </w:r>
          </w:p>
        </w:tc>
        <w:tc>
          <w:tcPr>
            <w:tcW w:w="0" w:type="dxa"/>
            <w:vAlign w:val="bottom"/>
          </w:tcPr>
          <w:p>
            <w:pPr>
              <w:spacing w:after="0"/>
              <w:rPr>
                <w:sz w:val="1"/>
                <w:szCs w:val="1"/>
                <w:color w:val="auto"/>
              </w:rPr>
            </w:pP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color w:val="auto"/>
              </w:rPr>
              <w:t>Impairments (2)</w:t>
            </w: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(100,842)</w:t>
            </w:r>
          </w:p>
        </w:tc>
        <w:tc>
          <w:tcPr>
            <w:tcW w:w="0" w:type="dxa"/>
            <w:vAlign w:val="bottom"/>
          </w:tcPr>
          <w:p>
            <w:pPr>
              <w:spacing w:after="0"/>
              <w:rPr>
                <w:sz w:val="1"/>
                <w:szCs w:val="1"/>
                <w:color w:val="auto"/>
              </w:rPr>
            </w:pPr>
          </w:p>
        </w:tc>
      </w:tr>
      <w:tr>
        <w:trPr>
          <w:trHeight w:val="28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(4)</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currency translation adjustments (3)</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w:t>
            </w:r>
          </w:p>
        </w:tc>
        <w:tc>
          <w:tcPr>
            <w:tcW w:w="0" w:type="dxa"/>
            <w:vAlign w:val="bottom"/>
          </w:tcPr>
          <w:p>
            <w:pPr>
              <w:spacing w:after="0"/>
              <w:rPr>
                <w:sz w:val="1"/>
                <w:szCs w:val="1"/>
                <w:color w:val="auto"/>
              </w:rPr>
            </w:pPr>
          </w:p>
        </w:tc>
      </w:tr>
      <w:tr>
        <w:trPr>
          <w:trHeight w:val="24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2020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150,846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129,764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155,197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186,097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621,904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right="580" w:hanging="252"/>
        <w:spacing w:after="0" w:line="258"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During the first quarter of fiscal 2020, we recognized goodwill related to an immaterial acquisition within our PrintBrothers reportable segment. In fiscal year 2019 we acquired the BuildASign and VIDA businesses as well as an immaterial supplier of one of our businesses within The Print Group reportable segment.</w:t>
      </w:r>
    </w:p>
    <w:p>
      <w:pPr>
        <w:spacing w:after="0" w:line="31" w:lineRule="exact"/>
        <w:rPr>
          <w:rFonts w:ascii="Arial" w:cs="Arial" w:eastAsia="Arial" w:hAnsi="Arial"/>
          <w:sz w:val="14"/>
          <w:szCs w:val="14"/>
          <w:color w:val="auto"/>
        </w:rPr>
      </w:pPr>
    </w:p>
    <w:p>
      <w:pPr>
        <w:ind w:left="260" w:right="60" w:hanging="252"/>
        <w:spacing w:after="0" w:line="249"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During the third quarter of fiscal 2020, we identified triggering events in response to the COVID-19 pandemic, resulting in the recognition of impairment to goodwill, please refer below for further detail. Additionally, during the fourth quarter of fiscal 2020, we divested our VIDA business and recognized a loss of $1,520, in addition to the goodwill impairment recognized. In fiscal year 2019 we recorded an impairment charge for the goodwill of our Printi reporting unit. Refer below for additional details.</w:t>
      </w:r>
    </w:p>
    <w:p>
      <w:pPr>
        <w:spacing w:after="0" w:line="38" w:lineRule="exact"/>
        <w:rPr>
          <w:rFonts w:ascii="Arial" w:cs="Arial" w:eastAsia="Arial" w:hAnsi="Arial"/>
          <w:sz w:val="14"/>
          <w:szCs w:val="14"/>
          <w:color w:val="auto"/>
        </w:rPr>
      </w:pPr>
    </w:p>
    <w:p>
      <w:pPr>
        <w:ind w:left="220" w:hanging="212"/>
        <w:spacing w:after="0"/>
        <w:tabs>
          <w:tab w:leader="none" w:pos="2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55" w:lineRule="exact"/>
        <w:rPr>
          <w:rFonts w:ascii="Arial" w:cs="Arial" w:eastAsia="Arial" w:hAnsi="Arial"/>
          <w:sz w:val="14"/>
          <w:szCs w:val="14"/>
          <w:color w:val="auto"/>
        </w:rPr>
      </w:pPr>
    </w:p>
    <w:p>
      <w:pPr>
        <w:ind w:left="260" w:right="220" w:hanging="252"/>
        <w:spacing w:after="0" w:line="258"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Due to changes in the composition of our reportable segments during the first quarter of fiscal 2020, we reclassified the goodwill associated with our Vistaprint Corporate Solutions reporting unit from All Other Businesses to our Vistaprint reportable segment. Refer to Note 16 for additional details on the changes in our reportable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Review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2020 Annual Impairment Test</w:t>
      </w:r>
    </w:p>
    <w:p>
      <w:pPr>
        <w:spacing w:after="0" w:line="243"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Our goodwill accounting policy establishes an annual goodwill impairment test date of May 31. As described below, we identified triggering events during the third quarter of fiscal 2020 that required an interim period impairment analysis for all of our reporting units in response to disruptions associated with the COVID-19 pandemic. For our annual impairment assessment, we performed a qualitative test for all eight reporting units with goodwill, which focused on comparing key performance indicators between the pandemic-related financial models used in our quantitative test during the third quarter triggering event assessment, to the actual performance through our annual test date. For each of our reporting units, we are experiencing a better than previously expected recovery when comparing our revenue and EBITDA results for April and May 2020. In addition, we considered our current forecasts for the beginning of fiscal 2021, which again anticipates a better recovery as compared to the third quarter financial models that were used for our third quarter quantitative tests. Lastly, we also considered macroeconomic factors, as well as the headroom between our estimated fair value and carrying value from our third quarter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522" w:right="339" w:bottom="1440" w:gutter="0" w:footer="0" w:header="0"/>
        </w:sectPr>
      </w:pPr>
    </w:p>
    <w:bookmarkStart w:id="88" w:name="page89"/>
    <w:bookmarkEnd w:id="88"/>
    <w:p>
      <w:pPr>
        <w:jc w:val="both"/>
        <w:ind w:right="160"/>
        <w:spacing w:after="0" w:line="291" w:lineRule="auto"/>
        <w:rPr>
          <w:sz w:val="20"/>
          <w:szCs w:val="20"/>
          <w:color w:val="auto"/>
        </w:rPr>
      </w:pPr>
      <w:r>
        <w:rPr>
          <w:rFonts w:ascii="Arial" w:cs="Arial" w:eastAsia="Arial" w:hAnsi="Arial"/>
          <w:sz w:val="17"/>
          <w:szCs w:val="17"/>
          <w:color w:val="auto"/>
        </w:rPr>
        <w:t>impairment analysis. We continue to believe that the impacts of the pandemic are temporary, so the better than expected results, combined with an improved near-term outlook were key inputs into our annual impairment analysis, in which we concluded that no impairment exists.</w:t>
      </w:r>
    </w:p>
    <w:p>
      <w:pPr>
        <w:spacing w:after="0" w:line="174"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Our goodwill analysis requires significant judgment, including the identification of reporting units and the amount and timing of expected future cash flows. While we believe our assumptions are reasonable, actual results could differ from our projections. There have been no indications of impairment that would require analysis for any of our other reporting units as of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Triggering Event</w:t>
      </w:r>
    </w:p>
    <w:p>
      <w:pPr>
        <w:spacing w:after="0" w:line="18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March 2020, all of our businesses experienced varying levels of decline in revenue due to the disruptions associated with the COVID-19 pandemic. Although we expect the impacts to be temporary, the negative effects of the pandemic on revenue and profitability triggered an assessment of goodwill, as we expected some of our businesses to achieve materially lower financial results than previously expected. A triggering event existed for all ten reporting units with goodwill, which required us to perform an impairment test in the third quarter of fiscal 2020.</w:t>
      </w:r>
    </w:p>
    <w:p>
      <w:pPr>
        <w:spacing w:after="0" w:line="15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required, prior to performing the quantitative goodwill impairment test during the third quarter, we first evaluated the recoverability of long-lived assets as the change in expected long-term cash flows is indicative of a potential impairment. We performed the recoverability test using undiscounted cash flows for the asset groups of all of our reporting units and concluded that no impairment of long-lived assets existed.</w:t>
      </w:r>
    </w:p>
    <w:p>
      <w:pPr>
        <w:spacing w:after="0" w:line="15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our March 31, 2020 test date, seven of our ten reporting units had a significant level of headroom between the estimated fair value and carrying value of the reporting units from our most recent test, and significant headroom remained after considering the deterioration in cash flow due to COVID-19, resulting in no indication of impairment during the third quarter of fiscal 2020. We identified triggering events that extended beyond the near-term impacts of the pandemic for three of our reporting units, which resulted in reductions to the long-term profitability outlooks for our Exaprint, National Pen and VIDA reporting units. The triggering events in these specific reporting units were due to a combination of the near-term disruptions outlined above, along with reductions to the long-term profitability expected from each business, as compared to prior expectations. In light of our decision to exit the VIDA business, which was completed on April 10, 2020, the negotiated sale price was the primary input in our goodwill analysis.</w:t>
      </w:r>
    </w:p>
    <w:p>
      <w:pPr>
        <w:spacing w:after="0" w:line="15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March 31, 2020 goodwill impairment test resulted in impairment charges to our Exaprint reporting unit, included within The Print Group reportable segment, the National Pen reporting unit, and our VIDA reporting unit, included within our All Other Business reportable segment. In order to execute the quantitative goodwill impairment test, we compared the fair value of each reporting unit to its carrying value. We used the income approach, specifically the discounted cash flow method, to derive the fair value. This approach calculates fair value by estimating the after-tax cash flows attributable to a reporting unit and then discounting the after-tax cash flows to a present value using a risk-adjusted discount rate. We selected this method as being the most meaningful in preparing our goodwill assessment as we believe the income approach most appropriately measures our income-producing assets. We considered using the market approach but concluded it was not appropriate in valuing these particular reporting units given the lack of relevant market comparisons available. The cash flow projections in the fair value analysis are considered Level 3 inputs, and consist of management's estimates of revenue growth rates and operating margins, taking into consideration historical results, as well as industry and market conditions. The discount rate used in the fair value analysis is based on a weighted average cost of capital (“WACC”), which represents the average rate a business must pay its providers of debt and equity, plus a risk premium. The respective WACC percentages used for each reporting unit within our goodwill impairment test were derived from a group of comparable companies for each respective reporting unit and adjusted for the risk premium associated with each reporting unit.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the goodwill impairment test performed, we recognized the following impairment charges during the third quarter of fiscal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1" w:lineRule="exact"/>
        <w:rPr>
          <w:sz w:val="20"/>
          <w:szCs w:val="20"/>
          <w:color w:val="auto"/>
        </w:rPr>
      </w:pPr>
    </w:p>
    <w:p>
      <w:pPr>
        <w:ind w:left="660" w:right="640" w:hanging="328"/>
        <w:spacing w:after="0" w:line="261"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partial impairment of the goodwill of our Exaprint reporting unit of $40,391, using a WACC of 14.5%, resulting in $23,767 of goodwill that remains after the impairment as of June 30, 2020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full impairment of the goodwill of our National Pen reporting unit of $34,434, using a WACC of 13.0%</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full impairment of the goodwill of our VIDA reporting unit of $26,017, based upon our negotiated sale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355"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Fiscal 2019</w:t>
      </w:r>
    </w:p>
    <w:p>
      <w:pPr>
        <w:spacing w:after="0" w:line="24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fiscal 2019, we identified triggering events associated with our Printi reporting unit, which indicated that it was more likely than not that the fair value of the reporting unit is below the carrying amount. Printi is the leader in Brazil's online printing industry and has grown quickly since its founding. That said, investment in capacity and other fixed costs was far too high in fiscal year 2019 relative to the scale of the business and the mid-term outlook. As a result, we implemented restructuring activities and aligned future operating plans during the fourth quarter of fiscal 2019 that negatively impacted our cash flow forecasts for this business. Based upon these changes to the business, we determined that it was more likely than not that the fair value of the reporting unity was below the carrying amount. We concluded that the fair value of the reporting unit indicated a full impairment of the Printi goodwill, resulting in an impairment charge of $7,503.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June 30, 2020</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June 30, 2019</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2"/>
                <w:szCs w:val="12"/>
                <w:color w:val="auto"/>
              </w:rPr>
            </w:pPr>
          </w:p>
        </w:tc>
        <w:tc>
          <w:tcPr>
            <w:tcW w:w="1100" w:type="dxa"/>
            <w:vAlign w:val="bottom"/>
            <w:gridSpan w:val="2"/>
          </w:tcPr>
          <w:p>
            <w:pPr>
              <w:jc w:val="center"/>
              <w:ind w:right="360"/>
              <w:spacing w:after="0" w:line="140"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2"/>
                <w:szCs w:val="12"/>
                <w:color w:val="auto"/>
              </w:rPr>
            </w:pPr>
          </w:p>
        </w:tc>
        <w:tc>
          <w:tcPr>
            <w:tcW w:w="110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2"/>
                <w:szCs w:val="12"/>
                <w:color w:val="auto"/>
              </w:rPr>
            </w:pPr>
          </w:p>
        </w:tc>
        <w:tc>
          <w:tcPr>
            <w:tcW w:w="1000" w:type="dxa"/>
            <w:vAlign w:val="bottom"/>
          </w:tcPr>
          <w:p>
            <w:pPr>
              <w:jc w:val="center"/>
              <w:ind w:right="165"/>
              <w:spacing w:after="0" w:line="140"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68"/>
        </w:trPr>
        <w:tc>
          <w:tcPr>
            <w:tcW w:w="3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restart"/>
          </w:tcPr>
          <w:p>
            <w:pPr>
              <w:jc w:val="center"/>
              <w:ind w:right="340"/>
              <w:spacing w:after="0" w:line="135" w:lineRule="exact"/>
              <w:rPr>
                <w:sz w:val="20"/>
                <w:szCs w:val="20"/>
                <w:color w:val="auto"/>
              </w:rPr>
            </w:pPr>
            <w:r>
              <w:rPr>
                <w:rFonts w:ascii="Arial" w:cs="Arial" w:eastAsia="Arial" w:hAnsi="Arial"/>
                <w:sz w:val="13"/>
                <w:szCs w:val="13"/>
                <w:b w:val="1"/>
                <w:bCs w:val="1"/>
                <w:color w:val="auto"/>
                <w:w w:val="93"/>
              </w:rPr>
              <w:t>Carrying</w:t>
            </w: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2"/>
            <w:vMerge w:val="restart"/>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5"/>
                <w:szCs w:val="5"/>
                <w:color w:val="auto"/>
              </w:rPr>
            </w:pPr>
          </w:p>
        </w:tc>
        <w:tc>
          <w:tcPr>
            <w:tcW w:w="1100" w:type="dxa"/>
            <w:vAlign w:val="bottom"/>
            <w:gridSpan w:val="2"/>
            <w:vMerge w:val="restart"/>
          </w:tcPr>
          <w:p>
            <w:pPr>
              <w:jc w:val="center"/>
              <w:ind w:right="340"/>
              <w:spacing w:after="0" w:line="135" w:lineRule="exact"/>
              <w:rPr>
                <w:sz w:val="20"/>
                <w:szCs w:val="20"/>
                <w:color w:val="auto"/>
              </w:rPr>
            </w:pPr>
            <w:r>
              <w:rPr>
                <w:rFonts w:ascii="Arial" w:cs="Arial" w:eastAsia="Arial" w:hAnsi="Arial"/>
                <w:sz w:val="13"/>
                <w:szCs w:val="13"/>
                <w:b w:val="1"/>
                <w:bCs w:val="1"/>
                <w:color w:val="auto"/>
                <w:w w:val="97"/>
              </w:rPr>
              <w:t>Carrying</w:t>
            </w: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restart"/>
          </w:tcPr>
          <w:p>
            <w:pPr>
              <w:jc w:val="center"/>
              <w:ind w:right="165"/>
              <w:spacing w:after="0" w:line="135"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68"/>
        </w:trPr>
        <w:tc>
          <w:tcPr>
            <w:tcW w:w="3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8"/>
                <w:szCs w:val="8"/>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vMerge w:val="restart"/>
          </w:tcPr>
          <w:p>
            <w:pPr>
              <w:jc w:val="center"/>
              <w:ind w:right="165"/>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77"/>
        </w:trPr>
        <w:tc>
          <w:tcPr>
            <w:tcW w:w="3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3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144,168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(45,570)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98,598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145,908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110,709</w:t>
            </w:r>
          </w:p>
        </w:tc>
        <w:tc>
          <w:tcPr>
            <w:tcW w:w="0" w:type="dxa"/>
            <w:vAlign w:val="bottom"/>
          </w:tcPr>
          <w:p>
            <w:pPr>
              <w:spacing w:after="0"/>
              <w:rPr>
                <w:sz w:val="1"/>
                <w:szCs w:val="1"/>
                <w:color w:val="auto"/>
              </w:rPr>
            </w:pP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2"/>
                <w:szCs w:val="22"/>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84,171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27,408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84,980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36,327</w:t>
            </w:r>
          </w:p>
        </w:tc>
        <w:tc>
          <w:tcPr>
            <w:tcW w:w="0" w:type="dxa"/>
            <w:vAlign w:val="bottom"/>
          </w:tcPr>
          <w:p>
            <w:pPr>
              <w:spacing w:after="0"/>
              <w:rPr>
                <w:sz w:val="1"/>
                <w:szCs w:val="1"/>
                <w:color w:val="auto"/>
              </w:rPr>
            </w:pPr>
          </w:p>
        </w:tc>
      </w:tr>
      <w:tr>
        <w:trPr>
          <w:trHeight w:val="28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190,329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66,472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191,719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94,327</w:t>
            </w:r>
          </w:p>
        </w:tc>
        <w:tc>
          <w:tcPr>
            <w:tcW w:w="0" w:type="dxa"/>
            <w:vAlign w:val="bottom"/>
          </w:tcPr>
          <w:p>
            <w:pPr>
              <w:spacing w:after="0"/>
              <w:rPr>
                <w:sz w:val="1"/>
                <w:szCs w:val="1"/>
                <w:color w:val="auto"/>
              </w:rPr>
            </w:pP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Customer network and other</w:t>
            </w:r>
          </w:p>
        </w:tc>
        <w:tc>
          <w:tcPr>
            <w:tcW w:w="240" w:type="dxa"/>
            <w:vAlign w:val="bottom"/>
          </w:tcPr>
          <w:p>
            <w:pPr>
              <w:spacing w:after="0"/>
              <w:rPr>
                <w:sz w:val="22"/>
                <w:szCs w:val="22"/>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15,847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4,151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15,970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5"/>
              <w:spacing w:after="0"/>
              <w:rPr>
                <w:sz w:val="20"/>
                <w:szCs w:val="20"/>
                <w:color w:val="auto"/>
              </w:rPr>
            </w:pPr>
            <w:r>
              <w:rPr>
                <w:rFonts w:ascii="Arial" w:cs="Arial" w:eastAsia="Arial" w:hAnsi="Arial"/>
                <w:sz w:val="16"/>
                <w:szCs w:val="16"/>
                <w:color w:val="auto"/>
              </w:rPr>
              <w:t>5,820</w:t>
            </w:r>
          </w:p>
        </w:tc>
        <w:tc>
          <w:tcPr>
            <w:tcW w:w="0" w:type="dxa"/>
            <w:vAlign w:val="bottom"/>
          </w:tcPr>
          <w:p>
            <w:pPr>
              <w:spacing w:after="0"/>
              <w:rPr>
                <w:sz w:val="1"/>
                <w:szCs w:val="1"/>
                <w:color w:val="auto"/>
              </w:rPr>
            </w:pP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Print network</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24,743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12,599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25,014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15,518</w:t>
            </w:r>
          </w:p>
        </w:tc>
        <w:tc>
          <w:tcPr>
            <w:tcW w:w="0" w:type="dxa"/>
            <w:vAlign w:val="bottom"/>
          </w:tcPr>
          <w:p>
            <w:pPr>
              <w:spacing w:after="0"/>
              <w:rPr>
                <w:sz w:val="1"/>
                <w:szCs w:val="1"/>
                <w:color w:val="auto"/>
              </w:rPr>
            </w:pPr>
          </w:p>
        </w:tc>
      </w:tr>
      <w:tr>
        <w:trPr>
          <w:trHeight w:val="240"/>
        </w:trPr>
        <w:tc>
          <w:tcPr>
            <w:tcW w:w="3240" w:type="dxa"/>
            <w:vAlign w:val="bottom"/>
          </w:tcPr>
          <w:p>
            <w:pPr>
              <w:ind w:left="40"/>
              <w:spacing w:after="0"/>
              <w:rPr>
                <w:sz w:val="20"/>
                <w:szCs w:val="20"/>
                <w:color w:val="auto"/>
              </w:rPr>
            </w:pPr>
            <w:r>
              <w:rPr>
                <w:rFonts w:ascii="Arial" w:cs="Arial" w:eastAsia="Arial" w:hAnsi="Arial"/>
                <w:sz w:val="16"/>
                <w:szCs w:val="16"/>
                <w:color w:val="auto"/>
              </w:rPr>
              <w:t>Total intangible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459,258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(250,030)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209,228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463,591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(200,890)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262,701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440" w:firstLine="648"/>
        <w:spacing w:after="0" w:line="256" w:lineRule="auto"/>
        <w:rPr>
          <w:sz w:val="20"/>
          <w:szCs w:val="20"/>
          <w:color w:val="auto"/>
        </w:rPr>
      </w:pPr>
      <w:r>
        <w:rPr>
          <w:rFonts w:ascii="Arial" w:cs="Arial" w:eastAsia="Arial" w:hAnsi="Arial"/>
          <w:sz w:val="18"/>
          <w:szCs w:val="18"/>
          <w:color w:val="auto"/>
        </w:rPr>
        <w:t>Acquired intangible assets amortization expense for the years ended June 30, 2020, 2019 and 2018 was $51,786, $53,256 and $49,881, respectively. Estimated intangible assets amortization expense for each of the five succeeding fiscal years and thereafter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47,583</w:t>
            </w:r>
          </w:p>
        </w:tc>
      </w:tr>
      <w:tr>
        <w:trPr>
          <w:trHeight w:val="260"/>
        </w:trPr>
        <w:tc>
          <w:tcPr>
            <w:tcW w:w="8940" w:type="dxa"/>
            <w:vAlign w:val="bottom"/>
          </w:tcPr>
          <w:p>
            <w:pPr>
              <w:ind w:left="40"/>
              <w:spacing w:after="0"/>
              <w:rPr>
                <w:sz w:val="20"/>
                <w:szCs w:val="20"/>
                <w:color w:val="auto"/>
              </w:rPr>
            </w:pPr>
            <w:r>
              <w:rPr>
                <w:rFonts w:ascii="Arial" w:cs="Arial" w:eastAsia="Arial" w:hAnsi="Arial"/>
                <w:sz w:val="16"/>
                <w:szCs w:val="16"/>
                <w:color w:val="auto"/>
              </w:rPr>
              <w:t>2022</w:t>
            </w:r>
          </w:p>
        </w:tc>
        <w:tc>
          <w:tcPr>
            <w:tcW w:w="8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42,534</w:t>
            </w:r>
          </w:p>
        </w:tc>
      </w:tr>
      <w:tr>
        <w:trPr>
          <w:trHeight w:val="280"/>
        </w:trPr>
        <w:tc>
          <w:tcPr>
            <w:tcW w:w="8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8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34,166</w:t>
            </w:r>
          </w:p>
        </w:tc>
      </w:tr>
      <w:tr>
        <w:trPr>
          <w:trHeight w:val="260"/>
        </w:trPr>
        <w:tc>
          <w:tcPr>
            <w:tcW w:w="8940" w:type="dxa"/>
            <w:vAlign w:val="bottom"/>
          </w:tcPr>
          <w:p>
            <w:pPr>
              <w:ind w:left="40"/>
              <w:spacing w:after="0"/>
              <w:rPr>
                <w:sz w:val="20"/>
                <w:szCs w:val="20"/>
                <w:color w:val="auto"/>
              </w:rPr>
            </w:pPr>
            <w:r>
              <w:rPr>
                <w:rFonts w:ascii="Arial" w:cs="Arial" w:eastAsia="Arial" w:hAnsi="Arial"/>
                <w:sz w:val="16"/>
                <w:szCs w:val="16"/>
                <w:color w:val="auto"/>
              </w:rPr>
              <w:t>2024</w:t>
            </w:r>
          </w:p>
        </w:tc>
        <w:tc>
          <w:tcPr>
            <w:tcW w:w="8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23,935</w:t>
            </w:r>
          </w:p>
        </w:tc>
      </w:tr>
      <w:tr>
        <w:trPr>
          <w:trHeight w:val="280"/>
        </w:trPr>
        <w:tc>
          <w:tcPr>
            <w:tcW w:w="8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8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13,701</w:t>
            </w:r>
          </w:p>
        </w:tc>
      </w:tr>
      <w:tr>
        <w:trPr>
          <w:trHeight w:val="263"/>
        </w:trPr>
        <w:tc>
          <w:tcPr>
            <w:tcW w:w="8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47,309</w:t>
            </w:r>
          </w:p>
        </w:tc>
      </w:tr>
      <w:tr>
        <w:trPr>
          <w:trHeight w:val="236"/>
        </w:trPr>
        <w:tc>
          <w:tcPr>
            <w:tcW w:w="89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209,228</w:t>
            </w:r>
          </w:p>
        </w:tc>
      </w:tr>
      <w:tr>
        <w:trPr>
          <w:trHeight w:val="20"/>
        </w:trPr>
        <w:tc>
          <w:tcPr>
            <w:tcW w:w="8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337"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9. Other Balance Sheet Components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2020</w:t>
            </w:r>
          </w:p>
        </w:tc>
        <w:tc>
          <w:tcPr>
            <w:tcW w:w="260" w:type="dxa"/>
            <w:vAlign w:val="bottom"/>
          </w:tcPr>
          <w:p>
            <w:pPr>
              <w:spacing w:after="0"/>
              <w:rPr>
                <w:sz w:val="15"/>
                <w:szCs w:val="15"/>
                <w:color w:val="auto"/>
              </w:rPr>
            </w:pP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June 30, 2019</w:t>
            </w:r>
          </w:p>
        </w:tc>
      </w:tr>
      <w:tr>
        <w:trPr>
          <w:trHeight w:val="257"/>
        </w:trPr>
        <w:tc>
          <w:tcPr>
            <w:tcW w:w="7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costs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67,307</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58,864</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Income and indirect taxes (1)</w:t>
            </w:r>
          </w:p>
        </w:tc>
        <w:tc>
          <w:tcPr>
            <w:tcW w:w="2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53,161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40,102</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costs (2)</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22,289</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Interest payable (3)</w:t>
            </w:r>
          </w:p>
        </w:tc>
        <w:tc>
          <w:tcPr>
            <w:tcW w:w="2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8,359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2,271</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Production costs (2)</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9,261</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Sales returns</w:t>
            </w:r>
          </w:p>
        </w:tc>
        <w:tc>
          <w:tcPr>
            <w:tcW w:w="2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5,166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5,413</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Shipping costs (2)</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7,275</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2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3,452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2,786</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2,358</w:t>
            </w:r>
          </w:p>
        </w:tc>
      </w:tr>
      <w:tr>
        <w:trPr>
          <w:trHeight w:val="263"/>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44,796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44,096</w:t>
            </w:r>
          </w:p>
        </w:tc>
      </w:tr>
      <w:tr>
        <w:trPr>
          <w:trHeight w:val="24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210,764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194,715</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left="260" w:right="80" w:hanging="252"/>
        <w:spacing w:after="0" w:line="251" w:lineRule="auto"/>
        <w:tabs>
          <w:tab w:leader="none" w:pos="233"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increase in income and indirect taxes is primarily due to government incentive programs in certain European jurisdictions, which has allowed for the deferral of payment of indirect taxes until fiscal 2021.</w:t>
      </w:r>
    </w:p>
    <w:p>
      <w:pPr>
        <w:ind w:left="260" w:right="360" w:hanging="252"/>
        <w:spacing w:after="0" w:line="251" w:lineRule="auto"/>
        <w:tabs>
          <w:tab w:leader="none" w:pos="233"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decline in advertising, production and shipping costs is due to the COVID-19 pandemic and related restrictions, which drove lower demand and a reduction in costs during the fourth quarter of the year ended June 30, 2020.</w:t>
      </w:r>
    </w:p>
    <w:p>
      <w:pPr>
        <w:ind w:left="260" w:right="260" w:hanging="252"/>
        <w:spacing w:after="0" w:line="258" w:lineRule="auto"/>
        <w:tabs>
          <w:tab w:leader="none" w:pos="233"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increase in interest payable is due to the additional offering of $200,000 of Senior Unsecured Notes in the third quarter and $300,000 in Second Lien Notes issued to Apollo Global Management, Inc. during the fourth quarter of fiscal 2020. Refer to Note 10 for further detail.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current liabilities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2020</w:t>
            </w:r>
          </w:p>
        </w:tc>
        <w:tc>
          <w:tcPr>
            <w:tcW w:w="260" w:type="dxa"/>
            <w:vAlign w:val="bottom"/>
          </w:tcPr>
          <w:p>
            <w:pPr>
              <w:spacing w:after="0"/>
              <w:rPr>
                <w:sz w:val="15"/>
                <w:szCs w:val="15"/>
                <w:color w:val="auto"/>
              </w:rPr>
            </w:pPr>
          </w:p>
        </w:tc>
        <w:tc>
          <w:tcPr>
            <w:tcW w:w="1420" w:type="dxa"/>
            <w:vAlign w:val="bottom"/>
          </w:tcPr>
          <w:p>
            <w:pPr>
              <w:jc w:val="right"/>
              <w:ind w:right="362"/>
              <w:spacing w:after="0"/>
              <w:rPr>
                <w:sz w:val="20"/>
                <w:szCs w:val="20"/>
                <w:color w:val="auto"/>
              </w:rPr>
            </w:pPr>
            <w:r>
              <w:rPr>
                <w:rFonts w:ascii="Arial" w:cs="Arial" w:eastAsia="Arial" w:hAnsi="Arial"/>
                <w:sz w:val="13"/>
                <w:szCs w:val="13"/>
                <w:b w:val="1"/>
                <w:bCs w:val="1"/>
                <w:color w:val="auto"/>
              </w:rPr>
              <w:t>June 30, 2019</w:t>
            </w:r>
          </w:p>
        </w:tc>
      </w:tr>
      <w:tr>
        <w:trPr>
          <w:trHeight w:val="247"/>
        </w:trPr>
        <w:tc>
          <w:tcPr>
            <w:tcW w:w="7760" w:type="dxa"/>
            <w:vAlign w:val="bottom"/>
          </w:tcPr>
          <w:p>
            <w:pPr>
              <w:ind w:left="40"/>
              <w:spacing w:after="0"/>
              <w:rPr>
                <w:sz w:val="20"/>
                <w:szCs w:val="20"/>
                <w:color w:val="auto"/>
              </w:rPr>
            </w:pPr>
            <w:r>
              <w:rPr>
                <w:rFonts w:ascii="Arial" w:cs="Arial" w:eastAsia="Arial" w:hAnsi="Arial"/>
                <w:sz w:val="16"/>
                <w:szCs w:val="16"/>
                <w:color w:val="auto"/>
              </w:rPr>
              <w:t>Current portion of finance lease obligations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8,055</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10,668</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portion of lease financing obligation (1)</w:t>
            </w:r>
          </w:p>
        </w:tc>
        <w:tc>
          <w:tcPr>
            <w:tcW w:w="2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12,569</w:t>
            </w: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Short-term derivative liabilities</w:t>
            </w:r>
          </w:p>
        </w:tc>
        <w:tc>
          <w:tcPr>
            <w:tcW w:w="280" w:type="dxa"/>
            <w:vAlign w:val="bottom"/>
          </w:tcPr>
          <w:p>
            <w:pPr>
              <w:spacing w:after="0"/>
              <w:rPr>
                <w:sz w:val="22"/>
                <w:szCs w:val="22"/>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3,521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1,628</w:t>
            </w:r>
          </w:p>
        </w:tc>
      </w:tr>
      <w:tr>
        <w:trPr>
          <w:trHeight w:val="273"/>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1,692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3,016</w:t>
            </w:r>
          </w:p>
        </w:tc>
      </w:tr>
      <w:tr>
        <w:trPr>
          <w:trHeight w:val="240"/>
        </w:trPr>
        <w:tc>
          <w:tcPr>
            <w:tcW w:w="7760" w:type="dxa"/>
            <w:vAlign w:val="bottom"/>
          </w:tcPr>
          <w:p>
            <w:pPr>
              <w:ind w:left="40"/>
              <w:spacing w:after="0"/>
              <w:rPr>
                <w:sz w:val="20"/>
                <w:szCs w:val="20"/>
                <w:color w:val="auto"/>
              </w:rPr>
            </w:pPr>
            <w:r>
              <w:rPr>
                <w:rFonts w:ascii="Arial" w:cs="Arial" w:eastAsia="Arial" w:hAnsi="Arial"/>
                <w:sz w:val="16"/>
                <w:szCs w:val="16"/>
                <w:color w:val="auto"/>
              </w:rPr>
              <w:t>Total other current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13,268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27,881</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2" w:lineRule="exact"/>
        <w:rPr>
          <w:sz w:val="20"/>
          <w:szCs w:val="20"/>
          <w:color w:val="auto"/>
        </w:rPr>
      </w:pPr>
    </w:p>
    <w:p>
      <w:pPr>
        <w:ind w:left="260" w:right="580" w:hanging="252"/>
        <w:spacing w:after="0" w:line="258" w:lineRule="auto"/>
        <w:tabs>
          <w:tab w:leader="none" w:pos="233" w:val="left"/>
        </w:tabs>
        <w:numPr>
          <w:ilvl w:val="0"/>
          <w:numId w:val="60"/>
        </w:numPr>
        <w:rPr>
          <w:rFonts w:ascii="Arial" w:cs="Arial" w:eastAsia="Arial" w:hAnsi="Arial"/>
          <w:sz w:val="14"/>
          <w:szCs w:val="14"/>
          <w:color w:val="auto"/>
        </w:rPr>
      </w:pPr>
      <w:r>
        <w:rPr>
          <w:rFonts w:ascii="Arial" w:cs="Arial" w:eastAsia="Arial" w:hAnsi="Arial"/>
          <w:sz w:val="14"/>
          <w:szCs w:val="14"/>
          <w:color w:val="auto"/>
        </w:rPr>
        <w:t>Due to our adoption of the new leasing standard on July 1, 2019, our Waltham, MA, and Dallas, TX leases, which were previously classified as build-to-suit, are now classified as operating leases and therefore the lease financing obligation has been de-recognized. Refer to Note 2 for additional details.</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liabilities included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2020</w:t>
            </w:r>
          </w:p>
        </w:tc>
        <w:tc>
          <w:tcPr>
            <w:tcW w:w="260" w:type="dxa"/>
            <w:vAlign w:val="bottom"/>
          </w:tcPr>
          <w:p>
            <w:pPr>
              <w:spacing w:after="0"/>
              <w:rPr>
                <w:sz w:val="15"/>
                <w:szCs w:val="15"/>
                <w:color w:val="auto"/>
              </w:rPr>
            </w:pPr>
          </w:p>
        </w:tc>
        <w:tc>
          <w:tcPr>
            <w:tcW w:w="1420" w:type="dxa"/>
            <w:vAlign w:val="bottom"/>
          </w:tcPr>
          <w:p>
            <w:pPr>
              <w:jc w:val="right"/>
              <w:ind w:right="363"/>
              <w:spacing w:after="0"/>
              <w:rPr>
                <w:sz w:val="20"/>
                <w:szCs w:val="20"/>
                <w:color w:val="auto"/>
              </w:rPr>
            </w:pPr>
            <w:r>
              <w:rPr>
                <w:rFonts w:ascii="Arial" w:cs="Arial" w:eastAsia="Arial" w:hAnsi="Arial"/>
                <w:sz w:val="13"/>
                <w:szCs w:val="13"/>
                <w:b w:val="1"/>
                <w:bCs w:val="1"/>
                <w:color w:val="auto"/>
              </w:rPr>
              <w:t>June 30, 2019</w:t>
            </w:r>
          </w:p>
        </w:tc>
      </w:tr>
      <w:tr>
        <w:trPr>
          <w:trHeight w:val="247"/>
        </w:trPr>
        <w:tc>
          <w:tcPr>
            <w:tcW w:w="7760" w:type="dxa"/>
            <w:vAlign w:val="bottom"/>
          </w:tcPr>
          <w:p>
            <w:pPr>
              <w:ind w:left="40"/>
              <w:spacing w:after="0"/>
              <w:rPr>
                <w:sz w:val="20"/>
                <w:szCs w:val="20"/>
                <w:color w:val="auto"/>
              </w:rPr>
            </w:pPr>
            <w:r>
              <w:rPr>
                <w:rFonts w:ascii="Arial" w:cs="Arial" w:eastAsia="Arial" w:hAnsi="Arial"/>
                <w:sz w:val="16"/>
                <w:szCs w:val="16"/>
                <w:color w:val="auto"/>
              </w:rPr>
              <w:t>Long-term finance lease obligations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18,617</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16,036</w:t>
            </w: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derivative liabilities (1)</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51,800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15,886</w:t>
            </w:r>
          </w:p>
        </w:tc>
      </w:tr>
      <w:tr>
        <w:trPr>
          <w:trHeight w:val="263"/>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17,770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21,794</w:t>
            </w:r>
          </w:p>
        </w:tc>
      </w:tr>
      <w:tr>
        <w:trPr>
          <w:trHeight w:val="24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liabilities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88,187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53,716</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left="260" w:right="580" w:hanging="252"/>
        <w:spacing w:after="0" w:line="258" w:lineRule="auto"/>
        <w:tabs>
          <w:tab w:leader="none" w:pos="233"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increase in long-term derivative liabilities for the year ended June 30, 2020, is due to unrealized losses on our interest rate swaps resulting from a change in the macroeconomic interest rate environment during the year.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52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10. Debt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2020</w:t>
            </w:r>
          </w:p>
        </w:tc>
        <w:tc>
          <w:tcPr>
            <w:tcW w:w="260" w:type="dxa"/>
            <w:vAlign w:val="bottom"/>
          </w:tcPr>
          <w:p>
            <w:pPr>
              <w:spacing w:after="0"/>
              <w:rPr>
                <w:sz w:val="15"/>
                <w:szCs w:val="15"/>
                <w:color w:val="auto"/>
              </w:rPr>
            </w:pP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June 30, 2019</w:t>
            </w:r>
          </w:p>
        </w:tc>
        <w:tc>
          <w:tcPr>
            <w:tcW w:w="0" w:type="dxa"/>
            <w:vAlign w:val="bottom"/>
          </w:tcPr>
          <w:p>
            <w:pPr>
              <w:spacing w:after="0"/>
              <w:rPr>
                <w:sz w:val="1"/>
                <w:szCs w:val="1"/>
                <w:color w:val="auto"/>
              </w:rPr>
            </w:pPr>
          </w:p>
        </w:tc>
      </w:tr>
      <w:tr>
        <w:trPr>
          <w:trHeight w:val="257"/>
        </w:trPr>
        <w:tc>
          <w:tcPr>
            <w:tcW w:w="7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7.0% Senior unsecured notes due 2026</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600,000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60"/>
        </w:trPr>
        <w:tc>
          <w:tcPr>
            <w:tcW w:w="7760" w:type="dxa"/>
            <w:vAlign w:val="bottom"/>
          </w:tcPr>
          <w:p>
            <w:pPr>
              <w:ind w:left="40"/>
              <w:spacing w:after="0"/>
              <w:rPr>
                <w:sz w:val="20"/>
                <w:szCs w:val="20"/>
                <w:color w:val="auto"/>
              </w:rPr>
            </w:pPr>
            <w:r>
              <w:rPr>
                <w:rFonts w:ascii="Arial" w:cs="Arial" w:eastAsia="Arial" w:hAnsi="Arial"/>
                <w:sz w:val="16"/>
                <w:szCs w:val="16"/>
                <w:color w:val="auto"/>
              </w:rPr>
              <w:t>Senior secured credit facility</w:t>
            </w:r>
          </w:p>
        </w:tc>
        <w:tc>
          <w:tcPr>
            <w:tcW w:w="2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570,483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621,224</w:t>
            </w:r>
          </w:p>
        </w:tc>
        <w:tc>
          <w:tcPr>
            <w:tcW w:w="0" w:type="dxa"/>
            <w:vAlign w:val="bottom"/>
          </w:tcPr>
          <w:p>
            <w:pPr>
              <w:spacing w:after="0"/>
              <w:rPr>
                <w:sz w:val="1"/>
                <w:szCs w:val="1"/>
                <w:color w:val="auto"/>
              </w:rPr>
            </w:pPr>
          </w:p>
        </w:tc>
      </w:tr>
      <w:tr>
        <w:trPr>
          <w:trHeight w:val="28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12.0% Second lien notes due 2025</w:t>
            </w: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7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11,694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14,361</w:t>
            </w:r>
          </w:p>
        </w:tc>
        <w:tc>
          <w:tcPr>
            <w:tcW w:w="0" w:type="dxa"/>
            <w:vAlign w:val="bottom"/>
          </w:tcPr>
          <w:p>
            <w:pPr>
              <w:spacing w:after="0"/>
              <w:rPr>
                <w:sz w:val="1"/>
                <w:szCs w:val="1"/>
                <w:color w:val="auto"/>
              </w:rPr>
            </w:pPr>
          </w:p>
        </w:tc>
      </w:tr>
      <w:tr>
        <w:trPr>
          <w:trHeight w:val="273"/>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issuance costs and debt premiums (discounts) (1)</w:t>
            </w:r>
          </w:p>
        </w:tc>
        <w:tc>
          <w:tcPr>
            <w:tcW w:w="2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(48,587)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(12,018)</w:t>
            </w:r>
          </w:p>
        </w:tc>
        <w:tc>
          <w:tcPr>
            <w:tcW w:w="0" w:type="dxa"/>
            <w:vAlign w:val="bottom"/>
          </w:tcPr>
          <w:p>
            <w:pPr>
              <w:spacing w:after="0"/>
              <w:rPr>
                <w:sz w:val="1"/>
                <w:szCs w:val="1"/>
                <w:color w:val="auto"/>
              </w:rPr>
            </w:pPr>
          </w:p>
        </w:tc>
      </w:tr>
      <w:tr>
        <w:trPr>
          <w:trHeight w:val="247"/>
        </w:trPr>
        <w:tc>
          <w:tcPr>
            <w:tcW w:w="7760" w:type="dxa"/>
            <w:vAlign w:val="bottom"/>
          </w:tcPr>
          <w:p>
            <w:pPr>
              <w:ind w:left="40"/>
              <w:spacing w:after="0"/>
              <w:rPr>
                <w:sz w:val="20"/>
                <w:szCs w:val="20"/>
                <w:color w:val="auto"/>
              </w:rPr>
            </w:pPr>
            <w:r>
              <w:rPr>
                <w:rFonts w:ascii="Arial" w:cs="Arial" w:eastAsia="Arial" w:hAnsi="Arial"/>
                <w:sz w:val="16"/>
                <w:szCs w:val="16"/>
                <w:color w:val="auto"/>
              </w:rPr>
              <w:t>Total debt outstanding, net</w:t>
            </w:r>
          </w:p>
        </w:tc>
        <w:tc>
          <w:tcPr>
            <w:tcW w:w="280" w:type="dxa"/>
            <w:vAlign w:val="bottom"/>
          </w:tcPr>
          <w:p>
            <w:pPr>
              <w:spacing w:after="0"/>
              <w:rPr>
                <w:sz w:val="21"/>
                <w:szCs w:val="21"/>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1,433,590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1,023,567</w:t>
            </w:r>
          </w:p>
        </w:tc>
        <w:tc>
          <w:tcPr>
            <w:tcW w:w="0" w:type="dxa"/>
            <w:vAlign w:val="bottom"/>
          </w:tcPr>
          <w:p>
            <w:pPr>
              <w:spacing w:after="0"/>
              <w:rPr>
                <w:sz w:val="1"/>
                <w:szCs w:val="1"/>
                <w:color w:val="auto"/>
              </w:rPr>
            </w:pPr>
          </w:p>
        </w:tc>
      </w:tr>
      <w:tr>
        <w:trPr>
          <w:trHeight w:val="273"/>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short-term debt (2)</w:t>
            </w:r>
          </w:p>
        </w:tc>
        <w:tc>
          <w:tcPr>
            <w:tcW w:w="2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17,933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81,277</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1,415,657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942,290</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60" w:right="180" w:hanging="252"/>
        <w:spacing w:after="0" w:line="258" w:lineRule="auto"/>
        <w:tabs>
          <w:tab w:leader="none" w:pos="233"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debt premium (discount) balance as of June 30, 2020 includes $22,432 of a discount due to the fair value allocation of warrants in conjunction with the issuance of the second lien notes in May 2020. Refer below for further detail of the transaction.</w:t>
      </w:r>
    </w:p>
    <w:p>
      <w:pPr>
        <w:spacing w:after="0" w:line="31" w:lineRule="exact"/>
        <w:rPr>
          <w:rFonts w:ascii="Arial" w:cs="Arial" w:eastAsia="Arial" w:hAnsi="Arial"/>
          <w:sz w:val="14"/>
          <w:szCs w:val="14"/>
          <w:color w:val="auto"/>
        </w:rPr>
      </w:pPr>
    </w:p>
    <w:p>
      <w:pPr>
        <w:ind w:left="220" w:hanging="212"/>
        <w:spacing w:after="0"/>
        <w:tabs>
          <w:tab w:leader="none" w:pos="2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Balances as of June 30, 2020 and June 30, 2019 are inclusive of short-term debt issuance costs, debt premiums and discounts of $10,362 and $2,419,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w:t>
      </w:r>
    </w:p>
    <w:p>
      <w:pPr>
        <w:spacing w:after="0" w:line="2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the pre-existing financial maintenance covenants under our senior secured credit facility covenants are suspended, and we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were in compliance with all financial and other covenants under the credit agreement as amended, senior unsecured notes indenture, and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second lien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1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April 28, 2020, we entered into an amendment to our senior secured credit agreement to suspend pre-existing maintenance covenants, including the total and senior secured leverage covenants and interest coverage ratio covenant, until the publication of our results for the quarter ending December 31, 2021, for which quarter the pre-amendment maintenance covenants will be reinstated. The covenant suspension period could end earlier at our election if we have total leverage equal to or lower than 4.75x annualized EBITDA for each of two consecutive quarters and are compliant with pre-amendment maintenance covenants.</w:t>
      </w:r>
    </w:p>
    <w:p>
      <w:pPr>
        <w:spacing w:after="0" w:line="25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During the suspension period, we are required to comply with new maintenance covenants requiring minimum liquidity (defined in the credit agreement as unrestricted cash plus unused revolver) of $50,000 and EBITDA above zero in each of the quarters ending June 30, 2021 and September 30, 2021. The amendment increased pricing to LIBOR plus 3.25% during the covenant suspension period and to LIBOR plus 2.50% to 3.25% after the covenant suspension period, depending on our total leverage ratio, including a 0.75% floor for LIBOR borrowings. Additionally, as part of the amendment, the maturity date was changed from February 2025 to November 2024. The amendment to the senior secured credit agreement also reduced the credit facility from $1,551,419 to $1,000,000, made up of an $850,000 revolver and $150,000 term loan.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covenant suspension period, we have more restrictive limitations on certain activities and actions, including but not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9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incurrence of additional indebtedness and liens,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consummation of certain investments, including acquisitions,</w:t>
      </w:r>
    </w:p>
    <w:p>
      <w:pPr>
        <w:spacing w:after="0" w:line="198" w:lineRule="exact"/>
        <w:rPr>
          <w:rFonts w:ascii="Arial" w:cs="Arial" w:eastAsia="Arial" w:hAnsi="Arial"/>
          <w:sz w:val="18"/>
          <w:szCs w:val="18"/>
          <w:color w:val="auto"/>
        </w:rPr>
      </w:pPr>
    </w:p>
    <w:p>
      <w:pPr>
        <w:ind w:left="340" w:right="1940" w:hanging="8"/>
        <w:spacing w:after="0" w:line="485" w:lineRule="auto"/>
        <w:tabs>
          <w:tab w:leader="none" w:pos="6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making of restricted payments, including the purchases of our ordinary shares and payment of dividends. As of June 30, 2020, we have drawn commitments under the credit facility of $570,483 as follows:</w:t>
      </w: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Revolving loans of $422,358 with a maturity date of November 15, 2024</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Term loans of $148,125 amortizing over the loan period, with a final maturity date of November 15, 2024</w:t>
      </w:r>
    </w:p>
    <w:p>
      <w:pPr>
        <w:spacing w:after="0" w:line="279"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As of June 30, 2020, the weighted-average interest rate on outstanding borrowings was 5.4%, inclusive of interest rate swap rates. We are also required to pay a commitment fee on unused balances of 0.35% to 0.5%</w:t>
      </w:r>
    </w:p>
    <w:p>
      <w:pPr>
        <w:sectPr>
          <w:pgSz w:w="11900" w:h="16838" w:orient="portrait"/>
          <w:cols w:equalWidth="0" w:num="1">
            <w:col w:w="11240"/>
          </w:cols>
          <w:pgMar w:left="320" w:top="603"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603" w:right="339" w:bottom="1440" w:gutter="0" w:footer="0" w:header="0"/>
          <w:type w:val="continuous"/>
        </w:sectPr>
      </w:pPr>
    </w:p>
    <w:bookmarkStart w:id="92" w:name="page93"/>
    <w:bookmarkEnd w:id="92"/>
    <w:p>
      <w:pPr>
        <w:ind w:right="60"/>
        <w:spacing w:after="0" w:line="261" w:lineRule="auto"/>
        <w:rPr>
          <w:sz w:val="20"/>
          <w:szCs w:val="20"/>
          <w:color w:val="auto"/>
        </w:rPr>
      </w:pPr>
      <w:r>
        <w:rPr>
          <w:rFonts w:ascii="Arial" w:cs="Arial" w:eastAsia="Arial" w:hAnsi="Arial"/>
          <w:sz w:val="18"/>
          <w:szCs w:val="18"/>
          <w:color w:val="auto"/>
        </w:rPr>
        <w:t>depending on our total leverage ratio, and 0.5% during the covenant suspension period . We have pledged the assets and/or share capital of a number of our subsidiaries as collateral for our outstanding debt as of June 30,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and Second Lien Notes</w:t>
      </w:r>
    </w:p>
    <w:p>
      <w:pPr>
        <w:spacing w:after="0" w:line="243"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On May 1, 2020, we issued second lien notes and warrants to raise $300,000 from funds managed by affiliates of Apollo Global Management, Inc. (the "Apollo Funds") via a private placement. These notes and warrants were issued at a discount of $6,000, resulting in net proceeds of $294,000. We used the proceeds to pay down a portion of the term loans under our senior secured credit facility and to pay fees and expenses incurred in connection with the financing and the above-described amendment.</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investment by the Apollo Funds is structured as 5-year second lien notes with a 12% coupon, of which up to 50% can be paid-in-kind at our option. We may prepay these notes in whole or in part after the first anniversary with a 3% premium, after the second anniversary with a 1% premium, and after the third anniversary with no premium with proceeds from certain debt financings. The Apollo Funds also received 7-year warrants to purchase 1,055,377 ordinary shares of Cimpress, representing approximately 3.875% of our outstanding diluted ordinary shares. Based on the terms of the agreement, the two instruments exist separately and should be treated as separate securities; therefore the warrants are considered to be detachable.</w:t>
      </w:r>
    </w:p>
    <w:p>
      <w:pPr>
        <w:spacing w:after="0" w:line="20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warrants have an exercise price of $60 per share, representing an approximately 17% premium to the 10-day volume weighted average price of our shares as of April 28, 2020. The warrants are classified as equity as they are strictly redeemable in our own shares, and they may be exercised by cash payment or through cashless exercise by the surrender of warrant shares having a value equal to the exercise price of the portion of the warrant being exercised.</w:t>
      </w:r>
    </w:p>
    <w:p>
      <w:pPr>
        <w:spacing w:after="0" w:line="204"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The warrants are accounted for in accordance with ASC No. 470-20, Debt with Conversion and Other Options, which requires us to bifurcate and separately account for the detachable warrant as a separated instrument. The values were assigned to detachable warrants based on a relative fair allocation between the second lien notes and the warrants. The fair value used for the warrants in this allocation was calculated using the Monte Carlo valuation model. The inputs to the fair value analysis are considered Level 3 inputs, and consist of estimates of the expected volatility over the contract term of the warrants, taking into consideration the historical stock volatility, as well as industry and market conditions. Based upon the terms of the note and warrant agreement, the warrants were determined to be equity-based instruments.</w:t>
      </w:r>
    </w:p>
    <w:p>
      <w:pPr>
        <w:spacing w:after="0" w:line="20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valuation of the notes and warrants resulted in a carrying value allocated to the warrants of $ 22,432, which, in addition to be being accounted for as an equity instrument recorded in additional paid in capital, will also be included as a discount to the second lien notes, in addition to the $6,000 discount at which they were issued. The full discount will be amortized over the life of the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and Senior Unsecured Notes</w:t>
      </w:r>
    </w:p>
    <w:p>
      <w:pPr>
        <w:spacing w:after="0" w:line="324" w:lineRule="exact"/>
        <w:rPr>
          <w:sz w:val="20"/>
          <w:szCs w:val="20"/>
          <w:color w:val="auto"/>
        </w:rPr>
      </w:pPr>
    </w:p>
    <w:p>
      <w:pPr>
        <w:ind w:left="60" w:right="80" w:firstLine="648"/>
        <w:spacing w:after="0" w:line="265" w:lineRule="auto"/>
        <w:rPr>
          <w:sz w:val="20"/>
          <w:szCs w:val="20"/>
          <w:color w:val="auto"/>
        </w:rPr>
      </w:pPr>
      <w:r>
        <w:rPr>
          <w:rFonts w:ascii="Arial" w:cs="Arial" w:eastAsia="Arial" w:hAnsi="Arial"/>
          <w:sz w:val="17"/>
          <w:szCs w:val="17"/>
          <w:color w:val="auto"/>
        </w:rPr>
        <w:t>On February 13, 2020, we completed an additional offering of $200,000 in aggregate principal of 7.0% notes under the senior notes indenture between Cimpress plc and U.S. Bank National Association (as successor trustee to MUFG Union Bank, N.A.) at a premium of</w:t>
      </w:r>
    </w:p>
    <w:p>
      <w:pPr>
        <w:ind w:left="60" w:right="20"/>
        <w:spacing w:after="0" w:line="254" w:lineRule="auto"/>
        <w:rPr>
          <w:sz w:val="20"/>
          <w:szCs w:val="20"/>
          <w:color w:val="auto"/>
        </w:rPr>
      </w:pPr>
      <w:r>
        <w:rPr>
          <w:rFonts w:ascii="Arial" w:cs="Arial" w:eastAsia="Arial" w:hAnsi="Arial"/>
          <w:sz w:val="18"/>
          <w:szCs w:val="18"/>
          <w:color w:val="auto"/>
        </w:rPr>
        <w:t>105.25%. These notes were issued in addition to the existing principal balance under the indenture of $400,000, and are collectively referred to as the 2026 Notes. All terms and covenants of the senior notes indenture remain unchanged. The net proceeds from this add-on offering were used to repay a portion of the indebtedness outstanding under our senior secured credit facility and related transaction fees and expenses.</w:t>
      </w:r>
    </w:p>
    <w:p>
      <w:pPr>
        <w:spacing w:after="0" w:line="204" w:lineRule="exact"/>
        <w:rPr>
          <w:sz w:val="20"/>
          <w:szCs w:val="20"/>
          <w:color w:val="auto"/>
        </w:rPr>
      </w:pPr>
    </w:p>
    <w:p>
      <w:pPr>
        <w:ind w:right="460" w:firstLine="648"/>
        <w:spacing w:after="0" w:line="256" w:lineRule="auto"/>
        <w:rPr>
          <w:sz w:val="20"/>
          <w:szCs w:val="20"/>
          <w:color w:val="auto"/>
        </w:rPr>
      </w:pPr>
      <w:r>
        <w:rPr>
          <w:rFonts w:ascii="Arial" w:cs="Arial" w:eastAsia="Arial" w:hAnsi="Arial"/>
          <w:sz w:val="18"/>
          <w:szCs w:val="18"/>
          <w:color w:val="auto"/>
        </w:rPr>
        <w:t>The 2026 Notes bear interest at a rate of 7.0% per annum and mature on June 15, 2026. Interest on the Notes is payable semi-annually on June 15 and December 15 of each year to the holders of record of the 2026 Notes at the close of business on June 1 and December 1, respectively, preceding such interest payment date.</w:t>
      </w:r>
    </w:p>
    <w:p>
      <w:pPr>
        <w:spacing w:after="0" w:line="20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2026 Notes are senior unsecured obligations and rank equally in right of payment to all our existing and future senior unsecured debt and senior in right of payment to all of our existing and future subordinated debt. The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also guarantees the 2026 Notes.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544" w:right="339" w:bottom="1440" w:gutter="0" w:footer="0" w:header="0"/>
        </w:sectPr>
      </w:pPr>
    </w:p>
    <w:bookmarkStart w:id="93" w:name="page94"/>
    <w:bookmarkEnd w:id="93"/>
    <w:p>
      <w:pPr>
        <w:ind w:right="140" w:firstLine="648"/>
        <w:spacing w:after="0" w:line="252" w:lineRule="auto"/>
        <w:rPr>
          <w:sz w:val="20"/>
          <w:szCs w:val="20"/>
          <w:color w:val="auto"/>
        </w:rPr>
      </w:pPr>
      <w:r>
        <w:rPr>
          <w:rFonts w:ascii="Arial" w:cs="Arial" w:eastAsia="Arial" w:hAnsi="Arial"/>
          <w:sz w:val="18"/>
          <w:szCs w:val="18"/>
          <w:color w:val="auto"/>
        </w:rPr>
        <w:t>We have the right to redeem, at any time prior to June 15, 2021, some or all of the 2026 Notes at a redemption price equal to 100% of the principal amount redeemed, plus a make-whole amount as set forth in the indenture, plus accrued and unpaid interest to, but not including, the redemption date. In addition, we have the right to redeem, at any time prior to June 15, 2021, up to 40% of the aggregate outstanding principal amount of the 2026 Notes at a redemption price equal to 107% of the principal amount thereof, plus accrued and unpaid interest to, but not including, the redemption date, with the net proceeds of certain equity offerings by Cimpress. At any time on or after June 15, 2021, we may redeem some or all of the Notes at the redemption prices specified in the indenture, plus accrued and unpaid interest to, but not including, the redemption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6" w:lineRule="exact"/>
        <w:rPr>
          <w:sz w:val="20"/>
          <w:szCs w:val="20"/>
          <w:color w:val="auto"/>
        </w:rPr>
      </w:pPr>
    </w:p>
    <w:p>
      <w:pPr>
        <w:jc w:val="both"/>
        <w:ind w:right="160" w:firstLine="648"/>
        <w:spacing w:after="0" w:line="256" w:lineRule="auto"/>
        <w:rPr>
          <w:sz w:val="20"/>
          <w:szCs w:val="20"/>
          <w:color w:val="auto"/>
        </w:rPr>
      </w:pPr>
      <w:r>
        <w:rPr>
          <w:rFonts w:ascii="Arial" w:cs="Arial" w:eastAsia="Arial" w:hAnsi="Arial"/>
          <w:sz w:val="18"/>
          <w:szCs w:val="18"/>
          <w:color w:val="auto"/>
        </w:rPr>
        <w:t>Other debt consists primarily of term loans acquired through our various acquisitions or used to fund certain capital investments. As of June 30, 2020 and June 30, 2019, we had $11,694 and $14,361, respectively, outstanding for those obligations that are payable through March 2025.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43" w:lineRule="exact"/>
        <w:rPr>
          <w:sz w:val="20"/>
          <w:szCs w:val="20"/>
          <w:color w:val="auto"/>
        </w:rPr>
      </w:pPr>
    </w:p>
    <w:p>
      <w:pPr>
        <w:jc w:val="both"/>
        <w:ind w:right="100" w:firstLine="648"/>
        <w:spacing w:after="0" w:line="291" w:lineRule="auto"/>
        <w:rPr>
          <w:sz w:val="20"/>
          <w:szCs w:val="20"/>
          <w:color w:val="auto"/>
        </w:rPr>
      </w:pPr>
      <w:r>
        <w:rPr>
          <w:rFonts w:ascii="Arial" w:cs="Arial" w:eastAsia="Arial" w:hAnsi="Arial"/>
          <w:sz w:val="17"/>
          <w:szCs w:val="17"/>
          <w:color w:val="auto"/>
        </w:rPr>
        <w:t>During the years ended June 30, 2020 and 2019, we capitalized debt issuance costs related to the refinancing of our senior secured credit facility, and issuance of additional senior unsecured notes, and issuance of the second lien notes of $23,208 and $1,800, respectively.</w:t>
      </w:r>
    </w:p>
    <w:p>
      <w:pPr>
        <w:spacing w:after="0" w:line="17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Amortization expense and the write-off of costs related to debt amendments and modifications are included in interest expense, net in the consolidated statements of operations. For the years ended June 30, 2020, 2019 and 2018, we amortized $3,240, $2,367 and $1,821, respectively. As part of the April 2020 amendment to our senior secured credit facility, we also expensed $568 of third-party fees associated with the modification of the term loans and wrote-off $1,438 of unamortized fees associated with the revolving loans, due to the reduction in loan commitments. During the year ended June 30, 2018, we expensed $2,921 of unamortized costs related to the extinguishment of our senior unsecured notes, which was presented separately in the consolidated statements of operations as part of loss on early extinguishment of debt.</w:t>
      </w:r>
    </w:p>
    <w:p>
      <w:pPr>
        <w:spacing w:after="0" w:line="207" w:lineRule="exact"/>
        <w:rPr>
          <w:sz w:val="20"/>
          <w:szCs w:val="20"/>
          <w:color w:val="auto"/>
        </w:rPr>
      </w:pPr>
    </w:p>
    <w:p>
      <w:pPr>
        <w:ind w:right="740" w:firstLine="648"/>
        <w:spacing w:after="0" w:line="261" w:lineRule="auto"/>
        <w:rPr>
          <w:sz w:val="20"/>
          <w:szCs w:val="20"/>
          <w:color w:val="auto"/>
        </w:rPr>
      </w:pPr>
      <w:r>
        <w:rPr>
          <w:rFonts w:ascii="Arial" w:cs="Arial" w:eastAsia="Arial" w:hAnsi="Arial"/>
          <w:sz w:val="18"/>
          <w:szCs w:val="18"/>
          <w:color w:val="auto"/>
        </w:rPr>
        <w:t>Unamortized debt issuance costs and debt premiums (discounts) were $48,587 and $12,018 as of June 30, 2020 and 2019,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 (Deficit)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24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12, 2019, we announced that our Board authorized the repurchase of up to 5,500,000 of our ordinary shares, on the open market (including block trades), through privately negotiated transactions, or in one or more self-tender offers. During the year ended June 30, 2020, we purchased 4,119,965 shares under this authorization for a cost of $521,168. The February Repurchase Program terminated on November 25, 2019 when we announced the new November Repurchase Program described immediately below.</w:t>
      </w:r>
    </w:p>
    <w:p>
      <w:pPr>
        <w:spacing w:after="0" w:line="204"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On November 25, 2019, we announced that our Board had approved a new share repurchase program that replaced the February Repurchase Program described immediately above. Under this new program, we may repurchase up to 5,500,000 of our issued and outstanding ordinary shares on the open market (including block trades), through privately negotiated transactions, or in one or more self-tender offers. This repurchase program expires on May 22, 2021, and we may suspend or discontinue our share repurchases at any time. During the year ended June 30, 2020, we purchased 882,053 shares under this share repurchase program for a cost of $105,888.</w:t>
      </w:r>
    </w:p>
    <w:p>
      <w:pPr>
        <w:spacing w:after="0" w:line="205" w:lineRule="exact"/>
        <w:rPr>
          <w:sz w:val="20"/>
          <w:szCs w:val="20"/>
          <w:color w:val="auto"/>
        </w:rPr>
      </w:pPr>
    </w:p>
    <w:p>
      <w:pPr>
        <w:jc w:val="both"/>
        <w:ind w:right="380" w:firstLine="648"/>
        <w:spacing w:after="0" w:line="256" w:lineRule="auto"/>
        <w:rPr>
          <w:sz w:val="20"/>
          <w:szCs w:val="20"/>
          <w:color w:val="auto"/>
        </w:rPr>
      </w:pPr>
      <w:r>
        <w:rPr>
          <w:rFonts w:ascii="Arial" w:cs="Arial" w:eastAsia="Arial" w:hAnsi="Arial"/>
          <w:sz w:val="18"/>
          <w:szCs w:val="18"/>
          <w:color w:val="auto"/>
        </w:rPr>
        <w:t>On November 5, 2019, we repurchased 750,000 of our outstanding ordinary shares, par value €0.01 per share, from two private investment partnerships affiliated with Prescott General Partners LLC ("PGP") at a price of $135.00 per share, representing a discount of $1.05 to the closing price of our ordinary shares on November 5, 2019 (the "Transaction").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571" w:right="339" w:bottom="1440" w:gutter="0" w:footer="0" w:header="0"/>
        </w:sectPr>
      </w:pPr>
    </w:p>
    <w:bookmarkStart w:id="94" w:name="page95"/>
    <w:bookmarkEnd w:id="94"/>
    <w:p>
      <w:pPr>
        <w:ind w:firstLine="648"/>
        <w:spacing w:after="0" w:line="252" w:lineRule="auto"/>
        <w:rPr>
          <w:sz w:val="20"/>
          <w:szCs w:val="20"/>
          <w:color w:val="auto"/>
        </w:rPr>
      </w:pPr>
      <w:r>
        <w:rPr>
          <w:rFonts w:ascii="Arial" w:cs="Arial" w:eastAsia="Arial" w:hAnsi="Arial"/>
          <w:sz w:val="18"/>
          <w:szCs w:val="18"/>
          <w:color w:val="auto"/>
        </w:rPr>
        <w:t>PGP remained our largest shareholder, beneficially owning 3,906,492 of our ordinary shares immediately following the Transaction. In addition, Scott J. Vassalluzzo, a Managing Member of PGP, serves as a member of our Board of Directors. In light of the foregoing, the disinterested members of our Audit Committee reviewed the Transaction under our related person transaction policy and considered, amount other things, Mr. Vassalluzzo's and PGP's interest in the Transaction, the approximated dollar value of the Transaction, that the shares were being repurchased at a discount to the closing price, and the purpose and the potential benefits to Cimpress of entering into the Transaction. Based on these considerations, the disinterested members of the Audit Committee concluded that the Transaction was in our best interest. The Transaction was effected pursuant to the share repurchase program approved by our Board of Directors and announced on February 12, 2019.</w:t>
      </w:r>
    </w:p>
    <w:p>
      <w:pPr>
        <w:spacing w:after="0" w:line="205"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On April 28, 2020, we entered into an amendment to our senior secured credit agreement, which suspended our financial maintenance covenants in addition to prohibiting us from repurchasing shares during the suspension period. Refer to Note 10 for additional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conjunction with our issuance of the second lien notes, as described in Note 10, we also issued 7-year warrants, to purchase 1,055,377 ordinary shares of Cimpress, representing approximately 3.875% of our outstanding diluted ordinary shares. The warrants are accounted for as equity, as they are redeemable only in our own shares, with an exercise price of $60 per share. The warrants may be exercised by cash payment or through cashless exercise by the surrender of warrant shares having a value equal to the exercise price of the portion of the warrant being exercised.</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carrying value was assigned to detachable warrants based on a relative fair allocation between the second lien notes and the warrants, as described in Note 10. The fair value used for the warrants in this allocation was calculated using the Monte Carlo valuation model. The valuation of the notes and warrants resulted in a carrying value allocated to the warrants of $22,432, which, in addition to be being accounted for as an equity instrument recorded in additional paid in capital, will also be included as a discount to the second lien notes.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awards</w:t>
      </w:r>
    </w:p>
    <w:p>
      <w:pPr>
        <w:spacing w:after="0" w:line="24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2016 Performance Equity Plan (the "2016 Plan") became effective upon shareholder approval on May 27, 2016 and allows us to grant PSUs, entitling the recipient to receive Cimpress ordinary shares based upon continued service to Cimpress and the achievement of objective, predetermined appreciation of Cimpress' three-year moving average share price. We may grant PSUs under the 2016 Plan to our employees, officers, non-employee directors, consultants, and advisors. Subject to adjustment in the event of stock splits, stock dividends and other similar events, we may make awards under the 2016 Plan for up to 6,000,000 of our ordinary shares.</w:t>
      </w:r>
    </w:p>
    <w:p>
      <w:pPr>
        <w:spacing w:after="0" w:line="178" w:lineRule="exact"/>
        <w:rPr>
          <w:sz w:val="20"/>
          <w:szCs w:val="20"/>
          <w:color w:val="auto"/>
        </w:rPr>
      </w:pPr>
    </w:p>
    <w:p>
      <w:pPr>
        <w:ind w:right="80" w:firstLine="661"/>
        <w:spacing w:after="0" w:line="251" w:lineRule="auto"/>
        <w:rPr>
          <w:sz w:val="20"/>
          <w:szCs w:val="20"/>
          <w:color w:val="auto"/>
        </w:rPr>
      </w:pPr>
      <w:r>
        <w:rPr>
          <w:rFonts w:ascii="Arial" w:cs="Arial" w:eastAsia="Arial" w:hAnsi="Arial"/>
          <w:sz w:val="18"/>
          <w:szCs w:val="18"/>
          <w:color w:val="auto"/>
        </w:rPr>
        <w:t>The 2011 Equity Incentive Plan (the “2011 Plan”) became effective upon shareholder approval on June 30, 2011 and allows us to grant share options, share appreciation rights, restricted shares, restricted share units and other awards based on our ordinary shares to our employees, officers, non-employee directors, consultants and advisors. Among other terms, the 2011 Plan requires that the exercise price of any share option or share appreciation right granted under the 2011 Plan be at least 100% of the fair market value of the ordinary shares on the date of grant; limits the term of any share option or share appreciation right to a maximum period of 10 years; provides that shares underlying outstanding awards under the Amended and Restated 2005 Equity Incentive Plan that are canceled, forfeited, expired or otherwise terminated without having been issued in full will become available for the grant of new awards under the 2011 Plan; and prohibits the repricing of any share options or share appreciation rights without shareholder approval. In addition, the 2011 Plan provides that the number of ordinary shares available for issuance under the plan will be reduced by (i) 1.56 ordinary shares for each share subject to a restricted share or other share-based award with a per share or per unit purchase price lower than 100% of the fair market value of the ordinary shares on the date of grant and (ii) one ordinary share for each share subject to any other award under the 2011 Plan.</w:t>
      </w:r>
    </w:p>
    <w:p>
      <w:pPr>
        <w:spacing w:after="0" w:line="184" w:lineRule="exact"/>
        <w:rPr>
          <w:sz w:val="20"/>
          <w:szCs w:val="20"/>
          <w:color w:val="auto"/>
        </w:rPr>
      </w:pPr>
    </w:p>
    <w:p>
      <w:pPr>
        <w:jc w:val="both"/>
        <w:ind w:right="320" w:firstLine="661"/>
        <w:spacing w:after="0" w:line="256" w:lineRule="auto"/>
        <w:rPr>
          <w:sz w:val="20"/>
          <w:szCs w:val="20"/>
          <w:color w:val="auto"/>
        </w:rPr>
      </w:pPr>
      <w:r>
        <w:rPr>
          <w:rFonts w:ascii="Arial" w:cs="Arial" w:eastAsia="Arial" w:hAnsi="Arial"/>
          <w:sz w:val="18"/>
          <w:szCs w:val="18"/>
          <w:color w:val="auto"/>
        </w:rPr>
        <w:t>Our 2005 Non-Employee Directors’ Share Option Plan allows us to grant share options to our non-employee directors upon initial appointment as a director and annually thereafter in connection with our annual general meeting of shareholders if they are continuing to serve as a director at such time.</w:t>
      </w:r>
    </w:p>
    <w:p>
      <w:pPr>
        <w:spacing w:after="0" w:line="175" w:lineRule="exact"/>
        <w:rPr>
          <w:sz w:val="20"/>
          <w:szCs w:val="20"/>
          <w:color w:val="auto"/>
        </w:rPr>
      </w:pPr>
    </w:p>
    <w:p>
      <w:pPr>
        <w:ind w:right="40" w:firstLine="661"/>
        <w:spacing w:after="0" w:line="261" w:lineRule="auto"/>
        <w:rPr>
          <w:sz w:val="20"/>
          <w:szCs w:val="20"/>
          <w:color w:val="auto"/>
        </w:rPr>
      </w:pPr>
      <w:r>
        <w:rPr>
          <w:rFonts w:ascii="Arial" w:cs="Arial" w:eastAsia="Arial" w:hAnsi="Arial"/>
          <w:sz w:val="18"/>
          <w:szCs w:val="18"/>
          <w:color w:val="auto"/>
        </w:rPr>
        <w:t>An aggregate of 5,815,482 ordinary shares were available for future awards under all of our share-based award plans as of June 30, 2020. For PSUs under our 2016 Plan, we assumed that we would issue ordinary shares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355" w:right="339" w:bottom="1440" w:gutter="0" w:footer="0" w:header="0"/>
        </w:sectPr>
      </w:pPr>
    </w:p>
    <w:bookmarkStart w:id="95" w:name="page96"/>
    <w:bookmarkEnd w:id="95"/>
    <w:p>
      <w:pPr>
        <w:ind w:right="420"/>
        <w:spacing w:after="0" w:line="261" w:lineRule="auto"/>
        <w:rPr>
          <w:sz w:val="20"/>
          <w:szCs w:val="20"/>
          <w:color w:val="auto"/>
        </w:rPr>
      </w:pPr>
      <w:r>
        <w:rPr>
          <w:rFonts w:ascii="Arial" w:cs="Arial" w:eastAsia="Arial" w:hAnsi="Arial"/>
          <w:sz w:val="18"/>
          <w:szCs w:val="18"/>
          <w:color w:val="auto"/>
        </w:rPr>
        <w:t>equal to 250% of the outstanding PSUs, which is the maximum potential share issuance. Treasury shares have historically been used in fulfillment of our share-based awards.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16" w:lineRule="exact"/>
        <w:rPr>
          <w:sz w:val="20"/>
          <w:szCs w:val="20"/>
          <w:color w:val="auto"/>
        </w:rPr>
      </w:pPr>
    </w:p>
    <w:p>
      <w:pPr>
        <w:jc w:val="both"/>
        <w:ind w:right="500" w:firstLine="661"/>
        <w:spacing w:after="0" w:line="256" w:lineRule="auto"/>
        <w:rPr>
          <w:sz w:val="20"/>
          <w:szCs w:val="20"/>
          <w:color w:val="auto"/>
        </w:rPr>
      </w:pPr>
      <w:r>
        <w:rPr>
          <w:rFonts w:ascii="Arial" w:cs="Arial" w:eastAsia="Arial" w:hAnsi="Arial"/>
          <w:sz w:val="18"/>
          <w:szCs w:val="18"/>
          <w:color w:val="auto"/>
        </w:rPr>
        <w:t>We have previously granted options to purchase ordinary shares at prices that are at least equal to the fair market value of the shares on the date the option is granted and have a contractual term of approximately eight to ten years. Options generally vested over 3 years for non-employee directors and over 4 years for employees.</w:t>
      </w:r>
    </w:p>
    <w:p>
      <w:pPr>
        <w:spacing w:after="0" w:line="175" w:lineRule="exact"/>
        <w:rPr>
          <w:sz w:val="20"/>
          <w:szCs w:val="20"/>
          <w:color w:val="auto"/>
        </w:rPr>
      </w:pPr>
    </w:p>
    <w:p>
      <w:pPr>
        <w:ind w:right="180" w:firstLine="661"/>
        <w:spacing w:after="0" w:line="252" w:lineRule="auto"/>
        <w:rPr>
          <w:sz w:val="20"/>
          <w:szCs w:val="20"/>
          <w:color w:val="auto"/>
        </w:rPr>
      </w:pPr>
      <w:r>
        <w:rPr>
          <w:rFonts w:ascii="Arial" w:cs="Arial" w:eastAsia="Arial" w:hAnsi="Arial"/>
          <w:sz w:val="18"/>
          <w:szCs w:val="18"/>
          <w:color w:val="auto"/>
        </w:rPr>
        <w:t>The fair value of each option award subject only to service period vesting is estimated on the date of grant using the Black-Scholes option pricing model and is recognized as expense on a straight-line basis over the requisite service period. Use of a valuation model requires management to make certain assumptions with respect to inputs. The expected volatility assumption is based upon historical volatility of our share price. The expected term assumption is based on the contractual and vesting term of the option and historical experience. The risk-free interest rate is based on the U.S. Treasury yield curve with a maturity equal to the expected life assumed at the grant date. We value share options with a market condition using a lattice model with compensation expense recorded on an accelerated basis over the requisite service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share options in fiscal 2020. A summary of our share option activity and related information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2020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35"/>
        </w:trPr>
        <w:tc>
          <w:tcPr>
            <w:tcW w:w="5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5"/>
              </w:rPr>
              <w:t>Weighted-</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5"/>
        </w:trPr>
        <w:tc>
          <w:tcPr>
            <w:tcW w:w="55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Average</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Remaining</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center"/>
              <w:ind w:right="170"/>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5520" w:type="dxa"/>
            <w:vAlign w:val="bottom"/>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Shares Pursuant to</w:t>
            </w:r>
          </w:p>
        </w:tc>
        <w:tc>
          <w:tcPr>
            <w:tcW w:w="26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Exercise</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Contractual</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center"/>
              <w:ind w:right="170"/>
              <w:spacing w:after="0" w:line="135" w:lineRule="exact"/>
              <w:rPr>
                <w:sz w:val="20"/>
                <w:szCs w:val="20"/>
                <w:color w:val="auto"/>
              </w:rPr>
            </w:pPr>
            <w:r>
              <w:rPr>
                <w:rFonts w:ascii="Arial" w:cs="Arial" w:eastAsia="Arial" w:hAnsi="Arial"/>
                <w:sz w:val="13"/>
                <w:szCs w:val="13"/>
                <w:b w:val="1"/>
                <w:bCs w:val="1"/>
                <w:color w:val="auto"/>
                <w:w w:val="98"/>
              </w:rPr>
              <w:t>Intrinsic</w:t>
            </w:r>
          </w:p>
        </w:tc>
      </w:tr>
      <w:tr>
        <w:trPr>
          <w:trHeight w:val="177"/>
        </w:trPr>
        <w:tc>
          <w:tcPr>
            <w:tcW w:w="552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Options</w:t>
            </w:r>
          </w:p>
        </w:tc>
        <w:tc>
          <w:tcPr>
            <w:tcW w:w="2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Price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Term (years)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ind w:left="260"/>
              <w:spacing w:after="0"/>
              <w:rPr>
                <w:sz w:val="20"/>
                <w:szCs w:val="20"/>
                <w:color w:val="auto"/>
              </w:rPr>
            </w:pPr>
            <w:r>
              <w:rPr>
                <w:rFonts w:ascii="Arial" w:cs="Arial" w:eastAsia="Arial" w:hAnsi="Arial"/>
                <w:sz w:val="13"/>
                <w:szCs w:val="13"/>
                <w:b w:val="1"/>
                <w:bCs w:val="1"/>
                <w:color w:val="auto"/>
              </w:rPr>
              <w:t>Value</w:t>
            </w:r>
          </w:p>
        </w:tc>
      </w:tr>
      <w:tr>
        <w:trPr>
          <w:trHeight w:val="270"/>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the beginning of the period</w:t>
            </w:r>
          </w:p>
        </w:tc>
        <w:tc>
          <w:tcPr>
            <w:tcW w:w="13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1,431,914</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50.27</w:t>
            </w:r>
          </w:p>
        </w:tc>
        <w:tc>
          <w:tcPr>
            <w:tcW w:w="10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Granted</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(1,321,376)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49.85</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3"/>
        </w:trPr>
        <w:tc>
          <w:tcPr>
            <w:tcW w:w="5520" w:type="dxa"/>
            <w:vAlign w:val="bottom"/>
          </w:tcPr>
          <w:p>
            <w:pPr>
              <w:ind w:left="40"/>
              <w:spacing w:after="0"/>
              <w:rPr>
                <w:sz w:val="20"/>
                <w:szCs w:val="20"/>
                <w:color w:val="auto"/>
              </w:rPr>
            </w:pPr>
            <w:r>
              <w:rPr>
                <w:rFonts w:ascii="Arial" w:cs="Arial" w:eastAsia="Arial" w:hAnsi="Arial"/>
                <w:sz w:val="16"/>
                <w:szCs w:val="16"/>
                <w:color w:val="auto"/>
              </w:rPr>
              <w:t>Forfeited/expired</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the end of the period</w:t>
            </w:r>
          </w:p>
        </w:tc>
        <w:tc>
          <w:tcPr>
            <w:tcW w:w="13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110,538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55.27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2,348,957</w:t>
            </w:r>
          </w:p>
        </w:tc>
      </w:tr>
      <w:tr>
        <w:trPr>
          <w:trHeight w:val="207"/>
        </w:trPr>
        <w:tc>
          <w:tcPr>
            <w:tcW w:w="5520" w:type="dxa"/>
            <w:vAlign w:val="bottom"/>
          </w:tcPr>
          <w:p>
            <w:pPr>
              <w:ind w:left="40"/>
              <w:spacing w:after="0"/>
              <w:rPr>
                <w:sz w:val="20"/>
                <w:szCs w:val="20"/>
                <w:color w:val="auto"/>
              </w:rPr>
            </w:pPr>
            <w:r>
              <w:rPr>
                <w:rFonts w:ascii="Arial" w:cs="Arial" w:eastAsia="Arial" w:hAnsi="Arial"/>
                <w:sz w:val="16"/>
                <w:szCs w:val="16"/>
                <w:color w:val="auto"/>
              </w:rPr>
              <w:t>Exercisable at the end of the period</w:t>
            </w:r>
          </w:p>
        </w:tc>
        <w:tc>
          <w:tcPr>
            <w:tcW w:w="13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110,538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6"/>
                <w:szCs w:val="16"/>
                <w:color w:val="auto"/>
              </w:rPr>
              <w:t>55.27</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ind w:left="280"/>
              <w:spacing w:after="0"/>
              <w:rPr>
                <w:sz w:val="20"/>
                <w:szCs w:val="20"/>
                <w:color w:val="auto"/>
              </w:rPr>
            </w:pPr>
            <w:r>
              <w:rPr>
                <w:rFonts w:ascii="Arial" w:cs="Arial" w:eastAsia="Arial" w:hAnsi="Arial"/>
                <w:sz w:val="16"/>
                <w:szCs w:val="16"/>
                <w:color w:val="auto"/>
              </w:rPr>
              <w:t>2,348,957</w:t>
            </w:r>
          </w:p>
        </w:tc>
      </w:tr>
    </w:tbl>
    <w:p>
      <w:pPr>
        <w:spacing w:after="0" w:line="200" w:lineRule="exact"/>
        <w:rPr>
          <w:sz w:val="20"/>
          <w:szCs w:val="20"/>
          <w:color w:val="auto"/>
        </w:rPr>
      </w:pPr>
    </w:p>
    <w:p>
      <w:pPr>
        <w:spacing w:after="0" w:line="22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intrinsic value in the table above represents the total pre-tax amount, net of exercise price, which would have been received if all option holders exercised in-the-money options on June 30, 2020. The total intrinsic value of options exercised during the fiscal years ended June 30, 2020, 2019 and 2018 was $92,582, $12,498 and $46,853,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- 2016 Performance Equity Plan</w:t>
      </w:r>
    </w:p>
    <w:p>
      <w:pPr>
        <w:spacing w:after="0" w:line="21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PSU awards entitle the recipient to receive Cimpress ordinary shares between 0% and 250% of the number of units, based upon continued service to Cimpress and the achievement of a compounded annual growth rate target based on Cimpress' three-year moving average share price. Awards with a grant date prior to fiscal 2020 will be assessed annually in years 6 - 10 following the grant date and awards with a grant date in fiscal 2020 will be assessed annually in years 4 - 8 following the grant date. The fair value of the PSUs is based on a Monte Carlo simulation, and the resulting expense is recognized on an accelerated basis over the requisite service period.</w:t>
      </w:r>
    </w:p>
    <w:p>
      <w:pPr>
        <w:spacing w:after="0" w:line="20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During fiscal 2018, we issued supplemental performance share units ("supplemental PSUs") to certain members of management (excluding Robert Keane, our Chairman and CEO) that were incremental to our typical long-term incentive awards. The supplemental PSUs were subject to a three-year cumulative financial performance condition and as of June 30, 2020 the performance condition was not achieved. In fiscal 2018 we concluded that the achievement of the three-year cumulative performance condition was probable and recognized expense of $15,397, which we subsequently reversed in fiscal 2019 when we concluded that the achievement was no longer probable.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544" w:right="3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A summary of our PSU activity and related information for the fiscal year ended June 30, 2020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Weighted-</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35"/>
        </w:trPr>
        <w:tc>
          <w:tcPr>
            <w:tcW w:w="6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Average</w:t>
            </w:r>
          </w:p>
        </w:tc>
        <w:tc>
          <w:tcPr>
            <w:tcW w:w="260" w:type="dxa"/>
            <w:vAlign w:val="bottom"/>
          </w:tcPr>
          <w:p>
            <w:pPr>
              <w:spacing w:after="0"/>
              <w:rPr>
                <w:sz w:val="11"/>
                <w:szCs w:val="11"/>
                <w:color w:val="auto"/>
              </w:rPr>
            </w:pPr>
          </w:p>
        </w:tc>
        <w:tc>
          <w:tcPr>
            <w:tcW w:w="120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6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Grant Date Fair</w:t>
            </w:r>
          </w:p>
        </w:tc>
        <w:tc>
          <w:tcPr>
            <w:tcW w:w="260" w:type="dxa"/>
            <w:vAlign w:val="bottom"/>
          </w:tcPr>
          <w:p>
            <w:pPr>
              <w:spacing w:after="0"/>
              <w:rPr>
                <w:sz w:val="11"/>
                <w:szCs w:val="11"/>
                <w:color w:val="auto"/>
              </w:rPr>
            </w:pPr>
          </w:p>
        </w:tc>
        <w:tc>
          <w:tcPr>
            <w:tcW w:w="120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auto"/>
                <w:w w:val="98"/>
              </w:rPr>
              <w:t>Intrinsic</w:t>
            </w:r>
          </w:p>
        </w:tc>
      </w:tr>
      <w:tr>
        <w:trPr>
          <w:trHeight w:val="177"/>
        </w:trPr>
        <w:tc>
          <w:tcPr>
            <w:tcW w:w="66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PSUs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auto"/>
                <w:w w:val="92"/>
              </w:rPr>
              <w:t>Value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w w:val="97"/>
              </w:rPr>
              <w:t>Value</w:t>
            </w: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the beginning of the period</w:t>
            </w: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821,745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132.55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295,239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47"/>
              <w:spacing w:after="0"/>
              <w:rPr>
                <w:sz w:val="20"/>
                <w:szCs w:val="20"/>
                <w:color w:val="auto"/>
              </w:rPr>
            </w:pPr>
            <w:r>
              <w:rPr>
                <w:rFonts w:ascii="Arial" w:cs="Arial" w:eastAsia="Arial" w:hAnsi="Arial"/>
                <w:sz w:val="16"/>
                <w:szCs w:val="16"/>
                <w:color w:val="auto"/>
              </w:rPr>
              <w:t>142.90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and distributed</w:t>
            </w:r>
          </w:p>
        </w:tc>
        <w:tc>
          <w:tcPr>
            <w:tcW w:w="14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(82,787)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47"/>
              <w:spacing w:after="0"/>
              <w:rPr>
                <w:sz w:val="20"/>
                <w:szCs w:val="20"/>
                <w:color w:val="auto"/>
              </w:rPr>
            </w:pPr>
            <w:r>
              <w:rPr>
                <w:rFonts w:ascii="Arial" w:cs="Arial" w:eastAsia="Arial" w:hAnsi="Arial"/>
                <w:sz w:val="16"/>
                <w:szCs w:val="16"/>
                <w:color w:val="auto"/>
              </w:rPr>
              <w:t>152.71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4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the end of the period</w:t>
            </w:r>
          </w:p>
        </w:tc>
        <w:tc>
          <w:tcPr>
            <w:tcW w:w="14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1,034,197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6"/>
                <w:szCs w:val="16"/>
                <w:color w:val="auto"/>
              </w:rPr>
              <w:t>133.89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78,951</w:t>
            </w: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weighted average fair value of PSUs granted during the fiscal years ended June 30, 2020, 2019 and 2018 was $142.90, $176.16, and $115.02, respectively. The total intrinsic value of PSUs outstanding at the fiscal years ended June 30, 2020, 2019 and 2018 was $78,951, $74,688 and $98,683, respectively. As of June 30, 2020, the number of shares subject to PSUs included in the table above assumes the issuance of one share for each PSU, but based on actual performance that amount delivered can range from zero shares to a maximum of 2,585,493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43"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The fair value of an RSU award is equal to the fair market value of our ordinary shares on the date of grant and the expense is recognized on a straight-line basis over the requisite service period. RSUs generally vest over 4 years, however, during the fourth quarter of fiscal 2020, we replaced a portion of some employees' salaries with RSU awards that generally vest after 4.5 months. We granted 193,365 RSUs during the fourth quarter of fiscal 2020. This program was put in place, as one of several measures taken to improve liquidity during the pandemic. As of July 1, 2020, we suspended the program but will consider providing future grants in lieu of cash compensation if necessary.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RSU activity and related information for the fiscal year ended June 30, 2020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7"/>
              <w:spacing w:after="0"/>
              <w:rPr>
                <w:sz w:val="20"/>
                <w:szCs w:val="20"/>
                <w:color w:val="auto"/>
              </w:rPr>
            </w:pPr>
            <w:r>
              <w:rPr>
                <w:rFonts w:ascii="Arial" w:cs="Arial" w:eastAsia="Arial" w:hAnsi="Arial"/>
                <w:sz w:val="13"/>
                <w:szCs w:val="13"/>
                <w:b w:val="1"/>
                <w:bCs w:val="1"/>
                <w:color w:val="auto"/>
                <w:w w:val="95"/>
              </w:rPr>
              <w:t>Weighted-</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35"/>
        </w:trPr>
        <w:tc>
          <w:tcPr>
            <w:tcW w:w="6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27"/>
              <w:spacing w:after="0" w:line="135" w:lineRule="exact"/>
              <w:rPr>
                <w:sz w:val="20"/>
                <w:szCs w:val="20"/>
                <w:color w:val="auto"/>
              </w:rPr>
            </w:pPr>
            <w:r>
              <w:rPr>
                <w:rFonts w:ascii="Arial" w:cs="Arial" w:eastAsia="Arial" w:hAnsi="Arial"/>
                <w:sz w:val="13"/>
                <w:szCs w:val="13"/>
                <w:b w:val="1"/>
                <w:bCs w:val="1"/>
                <w:color w:val="auto"/>
                <w:w w:val="97"/>
              </w:rPr>
              <w:t>Average</w:t>
            </w:r>
          </w:p>
        </w:tc>
        <w:tc>
          <w:tcPr>
            <w:tcW w:w="360" w:type="dxa"/>
            <w:vAlign w:val="bottom"/>
          </w:tcPr>
          <w:p>
            <w:pPr>
              <w:spacing w:after="0"/>
              <w:rPr>
                <w:sz w:val="11"/>
                <w:szCs w:val="11"/>
                <w:color w:val="auto"/>
              </w:rPr>
            </w:pPr>
          </w:p>
        </w:tc>
        <w:tc>
          <w:tcPr>
            <w:tcW w:w="120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auto"/>
                <w:w w:val="96"/>
              </w:rPr>
              <w:t>Aggregate</w:t>
            </w:r>
          </w:p>
        </w:tc>
      </w:tr>
      <w:tr>
        <w:trPr>
          <w:trHeight w:val="135"/>
        </w:trPr>
        <w:tc>
          <w:tcPr>
            <w:tcW w:w="6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27"/>
              <w:spacing w:after="0" w:line="135" w:lineRule="exact"/>
              <w:rPr>
                <w:sz w:val="20"/>
                <w:szCs w:val="20"/>
                <w:color w:val="auto"/>
              </w:rPr>
            </w:pPr>
            <w:r>
              <w:rPr>
                <w:rFonts w:ascii="Arial" w:cs="Arial" w:eastAsia="Arial" w:hAnsi="Arial"/>
                <w:sz w:val="13"/>
                <w:szCs w:val="13"/>
                <w:b w:val="1"/>
                <w:bCs w:val="1"/>
                <w:color w:val="auto"/>
                <w:w w:val="95"/>
              </w:rPr>
              <w:t>Grant Date Fair</w:t>
            </w:r>
          </w:p>
        </w:tc>
        <w:tc>
          <w:tcPr>
            <w:tcW w:w="360" w:type="dxa"/>
            <w:vAlign w:val="bottom"/>
          </w:tcPr>
          <w:p>
            <w:pPr>
              <w:spacing w:after="0"/>
              <w:rPr>
                <w:sz w:val="11"/>
                <w:szCs w:val="11"/>
                <w:color w:val="auto"/>
              </w:rPr>
            </w:pPr>
          </w:p>
        </w:tc>
        <w:tc>
          <w:tcPr>
            <w:tcW w:w="120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auto"/>
                <w:w w:val="98"/>
              </w:rPr>
              <w:t>Intrinsic</w:t>
            </w:r>
          </w:p>
        </w:tc>
      </w:tr>
      <w:tr>
        <w:trPr>
          <w:trHeight w:val="177"/>
        </w:trPr>
        <w:tc>
          <w:tcPr>
            <w:tcW w:w="6640" w:type="dxa"/>
            <w:vAlign w:val="bottom"/>
          </w:tcPr>
          <w:p>
            <w:pPr>
              <w:spacing w:after="0"/>
              <w:rPr>
                <w:sz w:val="15"/>
                <w:szCs w:val="15"/>
                <w:color w:val="auto"/>
              </w:rPr>
            </w:pPr>
          </w:p>
        </w:tc>
        <w:tc>
          <w:tcPr>
            <w:tcW w:w="1580" w:type="dxa"/>
            <w:vAlign w:val="bottom"/>
            <w:gridSpan w:val="2"/>
          </w:tcPr>
          <w:p>
            <w:pPr>
              <w:ind w:left="560"/>
              <w:spacing w:after="0"/>
              <w:rPr>
                <w:sz w:val="20"/>
                <w:szCs w:val="20"/>
                <w:color w:val="auto"/>
              </w:rPr>
            </w:pPr>
            <w:r>
              <w:rPr>
                <w:rFonts w:ascii="Arial" w:cs="Arial" w:eastAsia="Arial" w:hAnsi="Arial"/>
                <w:sz w:val="13"/>
                <w:szCs w:val="13"/>
                <w:b w:val="1"/>
                <w:bCs w:val="1"/>
                <w:color w:val="auto"/>
              </w:rPr>
              <w:t>RSUs</w:t>
            </w:r>
          </w:p>
        </w:tc>
        <w:tc>
          <w:tcPr>
            <w:tcW w:w="200" w:type="dxa"/>
            <w:vAlign w:val="bottom"/>
          </w:tcPr>
          <w:p>
            <w:pPr>
              <w:spacing w:after="0"/>
              <w:rPr>
                <w:sz w:val="15"/>
                <w:szCs w:val="15"/>
                <w:color w:val="auto"/>
              </w:rPr>
            </w:pPr>
          </w:p>
        </w:tc>
        <w:tc>
          <w:tcPr>
            <w:tcW w:w="1260" w:type="dxa"/>
            <w:vAlign w:val="bottom"/>
          </w:tcPr>
          <w:p>
            <w:pPr>
              <w:jc w:val="center"/>
              <w:ind w:right="147"/>
              <w:spacing w:after="0"/>
              <w:rPr>
                <w:sz w:val="20"/>
                <w:szCs w:val="20"/>
                <w:color w:val="auto"/>
              </w:rPr>
            </w:pPr>
            <w:r>
              <w:rPr>
                <w:rFonts w:ascii="Arial" w:cs="Arial" w:eastAsia="Arial" w:hAnsi="Arial"/>
                <w:sz w:val="13"/>
                <w:szCs w:val="13"/>
                <w:b w:val="1"/>
                <w:bCs w:val="1"/>
                <w:color w:val="auto"/>
                <w:w w:val="92"/>
              </w:rPr>
              <w:t>Value</w:t>
            </w:r>
          </w:p>
        </w:tc>
        <w:tc>
          <w:tcPr>
            <w:tcW w:w="360" w:type="dxa"/>
            <w:vAlign w:val="bottom"/>
          </w:tcPr>
          <w:p>
            <w:pPr>
              <w:spacing w:after="0"/>
              <w:rPr>
                <w:sz w:val="15"/>
                <w:szCs w:val="15"/>
                <w:color w:val="auto"/>
              </w:rPr>
            </w:pPr>
          </w:p>
        </w:tc>
        <w:tc>
          <w:tcPr>
            <w:tcW w:w="1200" w:type="dxa"/>
            <w:vAlign w:val="bottom"/>
          </w:tcPr>
          <w:p>
            <w:pPr>
              <w:jc w:val="center"/>
              <w:ind w:right="193"/>
              <w:spacing w:after="0"/>
              <w:rPr>
                <w:sz w:val="20"/>
                <w:szCs w:val="20"/>
                <w:color w:val="auto"/>
              </w:rPr>
            </w:pPr>
            <w:r>
              <w:rPr>
                <w:rFonts w:ascii="Arial" w:cs="Arial" w:eastAsia="Arial" w:hAnsi="Arial"/>
                <w:sz w:val="13"/>
                <w:szCs w:val="13"/>
                <w:b w:val="1"/>
                <w:bCs w:val="1"/>
                <w:color w:val="auto"/>
                <w:w w:val="97"/>
              </w:rPr>
              <w:t>Value</w:t>
            </w:r>
          </w:p>
        </w:tc>
      </w:tr>
      <w:tr>
        <w:trPr>
          <w:trHeight w:val="256"/>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at the beginning of the period</w:t>
            </w:r>
          </w:p>
        </w:tc>
        <w:tc>
          <w:tcPr>
            <w:tcW w:w="14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10,196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86.37</w:t>
            </w:r>
          </w:p>
        </w:tc>
        <w:tc>
          <w:tcPr>
            <w:tcW w:w="36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CCEEFF"/>
            </w:tcBorders>
            <w:shd w:val="clear" w:color="auto" w:fill="CCEEFF"/>
          </w:tcPr>
          <w:p>
            <w:pPr>
              <w:spacing w:after="0"/>
              <w:rPr>
                <w:sz w:val="22"/>
                <w:szCs w:val="22"/>
                <w:color w:val="auto"/>
              </w:rPr>
            </w:pPr>
          </w:p>
        </w:tc>
      </w:tr>
      <w:tr>
        <w:trPr>
          <w:trHeight w:val="260"/>
        </w:trPr>
        <w:tc>
          <w:tcPr>
            <w:tcW w:w="6640" w:type="dxa"/>
            <w:vAlign w:val="bottom"/>
          </w:tcPr>
          <w:p>
            <w:pPr>
              <w:ind w:left="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193,365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47"/>
              <w:spacing w:after="0"/>
              <w:rPr>
                <w:sz w:val="20"/>
                <w:szCs w:val="20"/>
                <w:color w:val="auto"/>
              </w:rPr>
            </w:pPr>
            <w:r>
              <w:rPr>
                <w:rFonts w:ascii="Arial" w:cs="Arial" w:eastAsia="Arial" w:hAnsi="Arial"/>
                <w:sz w:val="16"/>
                <w:szCs w:val="16"/>
                <w:color w:val="auto"/>
              </w:rPr>
              <w:t>46.94</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and distributed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65.01</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51.49</w:t>
            </w:r>
          </w:p>
        </w:tc>
        <w:tc>
          <w:tcPr>
            <w:tcW w:w="3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r>
      <w:tr>
        <w:trPr>
          <w:trHeight w:val="24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at the end of the period</w:t>
            </w:r>
          </w:p>
        </w:tc>
        <w:tc>
          <w:tcPr>
            <w:tcW w:w="14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177,233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47.06</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13,530</w:t>
            </w:r>
          </w:p>
        </w:tc>
      </w:tr>
      <w:tr>
        <w:trPr>
          <w:trHeight w:val="20"/>
        </w:trPr>
        <w:tc>
          <w:tcPr>
            <w:tcW w:w="6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We did not grant any RSUs during the fiscal years ended June 30, 2019 and 2018. The total intrinsic value of RSUs vested during the fiscal years ended June 30, 2020, 2019 and 2018 was $1,905, $6,749 and $11,581,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awards</w:t>
      </w:r>
    </w:p>
    <w:p>
      <w:pPr>
        <w:spacing w:after="0" w:line="216" w:lineRule="exact"/>
        <w:rPr>
          <w:sz w:val="20"/>
          <w:szCs w:val="20"/>
          <w:color w:val="auto"/>
        </w:rPr>
      </w:pPr>
    </w:p>
    <w:p>
      <w:pPr>
        <w:ind w:right="320" w:firstLine="661"/>
        <w:spacing w:after="0" w:line="254" w:lineRule="auto"/>
        <w:rPr>
          <w:sz w:val="20"/>
          <w:szCs w:val="20"/>
          <w:color w:val="auto"/>
        </w:rPr>
      </w:pPr>
      <w:r>
        <w:rPr>
          <w:rFonts w:ascii="Arial" w:cs="Arial" w:eastAsia="Arial" w:hAnsi="Arial"/>
          <w:sz w:val="18"/>
          <w:szCs w:val="18"/>
          <w:color w:val="auto"/>
        </w:rPr>
        <w:t>As part of our acquisition of Tradeprint during the first quarter of fiscal 2016, we issued 65,050 restricted ordinary shares. The fair value of the RSAs was determined based on our share price on the date of grant and was recognized as share-based compensation expense over the applicable service period. These awards vested over a 2 to 4 year period. The remaining 4,145 unvested shares vested during the year ended June 30, 2020, with a weighted average grant date value of $64.53.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16" w:lineRule="exact"/>
        <w:rPr>
          <w:sz w:val="20"/>
          <w:szCs w:val="20"/>
          <w:color w:val="auto"/>
        </w:rPr>
      </w:pPr>
    </w:p>
    <w:p>
      <w:pPr>
        <w:ind w:right="420" w:firstLine="661"/>
        <w:spacing w:after="0" w:line="261" w:lineRule="auto"/>
        <w:rPr>
          <w:sz w:val="20"/>
          <w:szCs w:val="20"/>
          <w:color w:val="auto"/>
        </w:rPr>
      </w:pPr>
      <w:r>
        <w:rPr>
          <w:rFonts w:ascii="Arial" w:cs="Arial" w:eastAsia="Arial" w:hAnsi="Arial"/>
          <w:sz w:val="18"/>
          <w:szCs w:val="18"/>
          <w:color w:val="auto"/>
        </w:rPr>
        <w:t>Total share-based compensation costs were $34,874, $21,716 and $50,466 for the years ended June 30, 2020, 2019 and 2018, respectively, and we elected to recognize the impact of forfeitures as they occur.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544" w:right="339" w:bottom="1440" w:gutter="0" w:footer="0" w:header="0"/>
        </w:sectPr>
      </w:pPr>
    </w:p>
    <w:bookmarkStart w:id="97" w:name="page98"/>
    <w:bookmarkEnd w:id="97"/>
    <w:p>
      <w:pPr>
        <w:ind w:right="320" w:firstLine="661"/>
        <w:spacing w:after="0" w:line="254" w:lineRule="auto"/>
        <w:rPr>
          <w:sz w:val="20"/>
          <w:szCs w:val="20"/>
          <w:color w:val="auto"/>
        </w:rPr>
      </w:pPr>
      <w:r>
        <w:rPr>
          <w:rFonts w:ascii="Arial" w:cs="Arial" w:eastAsia="Arial" w:hAnsi="Arial"/>
          <w:sz w:val="18"/>
          <w:szCs w:val="18"/>
          <w:color w:val="auto"/>
        </w:rPr>
        <w:t>From time to time we issue awards that are considered liability-based awards as they are settleable in cash. We previously had a liability-based award associated with our Printi LLC investment and we had fully reserved for the loan receivable in fiscal 2019 and throughout fiscal 2020 since the collateral value of the related liability was estimated to have no value. This agreement was settled in the fourth quarter of fiscal 2020, refer to Note 15 for additional details.</w:t>
      </w:r>
    </w:p>
    <w:p>
      <w:pPr>
        <w:spacing w:after="0" w:line="20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Share-based compensation costs capitalized as part of software and website development costs were $1,157, $1,141 and $1,607 for the years ended June 30, 2020, 2019 and 2018, respectively.</w:t>
      </w:r>
    </w:p>
    <w:p>
      <w:pPr>
        <w:spacing w:after="0" w:line="171" w:lineRule="exact"/>
        <w:rPr>
          <w:sz w:val="20"/>
          <w:szCs w:val="20"/>
          <w:color w:val="auto"/>
        </w:rPr>
      </w:pPr>
    </w:p>
    <w:p>
      <w:pPr>
        <w:ind w:right="100" w:firstLine="661"/>
        <w:spacing w:after="0" w:line="261" w:lineRule="auto"/>
        <w:rPr>
          <w:sz w:val="20"/>
          <w:szCs w:val="20"/>
          <w:color w:val="auto"/>
        </w:rPr>
      </w:pPr>
      <w:r>
        <w:rPr>
          <w:rFonts w:ascii="Arial" w:cs="Arial" w:eastAsia="Arial" w:hAnsi="Arial"/>
          <w:sz w:val="18"/>
          <w:szCs w:val="18"/>
          <w:color w:val="auto"/>
        </w:rPr>
        <w:t>As of June 30, 2020, there was $29,165 of total unrecognized compensation cost related to non-vested, share-based compensation arrangements. This cost is expected to be recognized over a weighted average period of 1.5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Employees’ Savings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16" w:lineRule="exact"/>
        <w:rPr>
          <w:sz w:val="20"/>
          <w:szCs w:val="20"/>
          <w:color w:val="auto"/>
        </w:rPr>
      </w:pPr>
    </w:p>
    <w:p>
      <w:pPr>
        <w:ind w:right="20" w:firstLine="661"/>
        <w:spacing w:after="0" w:line="253" w:lineRule="auto"/>
        <w:rPr>
          <w:sz w:val="20"/>
          <w:szCs w:val="20"/>
          <w:color w:val="auto"/>
        </w:rPr>
      </w:pPr>
      <w:r>
        <w:rPr>
          <w:rFonts w:ascii="Arial" w:cs="Arial" w:eastAsia="Arial" w:hAnsi="Arial"/>
          <w:sz w:val="18"/>
          <w:szCs w:val="18"/>
          <w:color w:val="auto"/>
        </w:rPr>
        <w:t>We maintain certain government-mandated and defined contribution plans throughout the world. Our most significant defined contribution retirement plans are in the U.S. and comply with Section 401(k) of the Internal Revenue Code. We offer eligible employees in the U.S. the opportunity to participate in one of these plans and match most employees' eligible contributions at various rates subject to service vesting as specified in each of the related plan documents. This matching program has been temporarily suspended as of March 2020, and will continue to be paused on a discretionary basis through at least December 31, 2020.</w:t>
      </w:r>
    </w:p>
    <w:p>
      <w:pPr>
        <w:spacing w:after="0" w:line="178" w:lineRule="exact"/>
        <w:rPr>
          <w:sz w:val="20"/>
          <w:szCs w:val="20"/>
          <w:color w:val="auto"/>
        </w:rPr>
      </w:pPr>
    </w:p>
    <w:p>
      <w:pPr>
        <w:ind w:right="80" w:firstLine="661"/>
        <w:spacing w:after="0" w:line="261" w:lineRule="auto"/>
        <w:rPr>
          <w:sz w:val="20"/>
          <w:szCs w:val="20"/>
          <w:color w:val="auto"/>
        </w:rPr>
      </w:pPr>
      <w:r>
        <w:rPr>
          <w:rFonts w:ascii="Arial" w:cs="Arial" w:eastAsia="Arial" w:hAnsi="Arial"/>
          <w:sz w:val="18"/>
          <w:szCs w:val="18"/>
          <w:color w:val="auto"/>
        </w:rPr>
        <w:t>We expensed $10,710, $11,401 and $11,723, for our government-mandated and defined contribution plans in the years ended June 30, 2020, 2019 and 2018,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16" w:lineRule="exact"/>
        <w:rPr>
          <w:sz w:val="20"/>
          <w:szCs w:val="20"/>
          <w:color w:val="auto"/>
        </w:rPr>
      </w:pPr>
    </w:p>
    <w:p>
      <w:pPr>
        <w:ind w:right="40" w:firstLine="648"/>
        <w:spacing w:after="0" w:line="251" w:lineRule="auto"/>
        <w:rPr>
          <w:sz w:val="20"/>
          <w:szCs w:val="20"/>
          <w:color w:val="auto"/>
        </w:rPr>
      </w:pPr>
      <w:r>
        <w:rPr>
          <w:rFonts w:ascii="Arial" w:cs="Arial" w:eastAsia="Arial" w:hAnsi="Arial"/>
          <w:sz w:val="18"/>
          <w:szCs w:val="18"/>
          <w:color w:val="auto"/>
        </w:rPr>
        <w:t>We currently have a defined benefit plan that covers substantially all of our employees in Switzerland. Our Swiss plan is a government-mandated retirement fund with benefits generally earned based on years of service and compensation during active employment; however, the level of benefits varies within the plan. Eligibility is determined in accordance with local statutory requirements. Under this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June 30, 2020 and 2019, the plan had an unfunded net pension obligation of approximately $2,743, and $1,525, respectively, and plan assets which totaled approximately $3,403 and $2,849, respectively. For the years ended June 30, 2020, 2019 and 2018 we recognized expense totaling $399, $424 and $55, respectively, related to our Swiss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income (loss) before income taxes by geography: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2018</w:t>
            </w:r>
          </w:p>
        </w:tc>
      </w:tr>
      <w:tr>
        <w:trPr>
          <w:trHeight w:val="257"/>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9,183</w:t>
            </w:r>
          </w:p>
        </w:tc>
      </w:tr>
      <w:tr>
        <w:trPr>
          <w:trHeight w:val="263"/>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Non-U.S.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61,768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137,791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57,183</w:t>
            </w:r>
          </w:p>
        </w:tc>
      </w:tr>
      <w:tr>
        <w:trPr>
          <w:trHeight w:val="24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126,912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66,366</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544"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2018</w:t>
            </w:r>
          </w:p>
        </w:tc>
      </w:tr>
      <w:tr>
        <w:trPr>
          <w:trHeight w:val="257"/>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0"/>
        </w:trPr>
        <w:tc>
          <w:tcPr>
            <w:tcW w:w="6640" w:type="dxa"/>
            <w:vAlign w:val="bottom"/>
          </w:tcPr>
          <w:p>
            <w:pPr>
              <w:ind w:left="500"/>
              <w:spacing w:after="0"/>
              <w:rPr>
                <w:sz w:val="20"/>
                <w:szCs w:val="20"/>
                <w:color w:val="auto"/>
              </w:rPr>
            </w:pPr>
            <w:r>
              <w:rPr>
                <w:rFonts w:ascii="Arial" w:cs="Arial" w:eastAsia="Arial" w:hAnsi="Arial"/>
                <w:sz w:val="16"/>
                <w:szCs w:val="16"/>
                <w:color w:val="auto"/>
              </w:rPr>
              <w:t>U.S. Federal</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(16,269)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446</w:t>
            </w:r>
          </w:p>
        </w:tc>
      </w:tr>
      <w:tr>
        <w:trPr>
          <w:trHeight w:val="280"/>
        </w:trPr>
        <w:tc>
          <w:tcPr>
            <w:tcW w:w="6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U.S. State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63"/>
        </w:trPr>
        <w:tc>
          <w:tcPr>
            <w:tcW w:w="66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Non-U.S.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22,361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26,862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33,065</w:t>
            </w:r>
          </w:p>
        </w:tc>
      </w:tr>
      <w:tr>
        <w:trPr>
          <w:trHeight w:val="257"/>
        </w:trPr>
        <w:tc>
          <w:tcPr>
            <w:tcW w:w="6640" w:type="dxa"/>
            <w:vAlign w:val="bottom"/>
            <w:shd w:val="clear" w:color="auto" w:fill="CCEEFF"/>
          </w:tcPr>
          <w:p>
            <w:pPr>
              <w:jc w:val="right"/>
              <w:ind w:right="5499"/>
              <w:spacing w:after="0"/>
              <w:rPr>
                <w:sz w:val="20"/>
                <w:szCs w:val="20"/>
                <w:color w:val="auto"/>
              </w:rPr>
            </w:pPr>
            <w:r>
              <w:rPr>
                <w:rFonts w:ascii="Arial" w:cs="Arial" w:eastAsia="Arial" w:hAnsi="Arial"/>
                <w:sz w:val="16"/>
                <w:szCs w:val="16"/>
                <w:color w:val="auto"/>
              </w:rPr>
              <w:t>Total current</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6,305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28,076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33,394</w:t>
            </w:r>
          </w:p>
        </w:tc>
      </w:tr>
      <w:tr>
        <w:trPr>
          <w:trHeight w:val="240"/>
        </w:trPr>
        <w:tc>
          <w:tcPr>
            <w:tcW w:w="6640" w:type="dxa"/>
            <w:vAlign w:val="bottom"/>
          </w:tcPr>
          <w:p>
            <w:pPr>
              <w:ind w:left="40"/>
              <w:spacing w:after="0"/>
              <w:rPr>
                <w:sz w:val="20"/>
                <w:szCs w:val="20"/>
                <w:color w:val="auto"/>
              </w:rPr>
            </w:pPr>
            <w:r>
              <w:rPr>
                <w:rFonts w:ascii="Arial" w:cs="Arial" w:eastAsia="Arial" w:hAnsi="Arial"/>
                <w:sz w:val="16"/>
                <w:szCs w:val="16"/>
                <w:color w:val="auto"/>
              </w:rPr>
              <w:t>Deferred:</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0"/>
        </w:trPr>
        <w:tc>
          <w:tcPr>
            <w:tcW w:w="6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U.S. Federal</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12,980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(6,673)</w:t>
            </w:r>
          </w:p>
        </w:tc>
      </w:tr>
      <w:tr>
        <w:trPr>
          <w:trHeight w:val="260"/>
        </w:trPr>
        <w:tc>
          <w:tcPr>
            <w:tcW w:w="6640" w:type="dxa"/>
            <w:vAlign w:val="bottom"/>
          </w:tcPr>
          <w:p>
            <w:pPr>
              <w:ind w:left="500"/>
              <w:spacing w:after="0"/>
              <w:rPr>
                <w:sz w:val="20"/>
                <w:szCs w:val="20"/>
                <w:color w:val="auto"/>
              </w:rPr>
            </w:pPr>
            <w:r>
              <w:rPr>
                <w:rFonts w:ascii="Arial" w:cs="Arial" w:eastAsia="Arial" w:hAnsi="Arial"/>
                <w:sz w:val="16"/>
                <w:szCs w:val="16"/>
                <w:color w:val="auto"/>
              </w:rPr>
              <w:t>U.S. State</w:t>
            </w: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3,213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2,306</w:t>
            </w:r>
          </w:p>
        </w:tc>
      </w:tr>
      <w:tr>
        <w:trPr>
          <w:trHeight w:val="273"/>
        </w:trPr>
        <w:tc>
          <w:tcPr>
            <w:tcW w:w="6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Non-U.S.</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(103,490)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6,886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(9,449)</w:t>
            </w:r>
          </w:p>
        </w:tc>
      </w:tr>
      <w:tr>
        <w:trPr>
          <w:trHeight w:val="250"/>
        </w:trPr>
        <w:tc>
          <w:tcPr>
            <w:tcW w:w="6640" w:type="dxa"/>
            <w:vAlign w:val="bottom"/>
            <w:tcBorders>
              <w:bottom w:val="single" w:sz="8" w:color="CCEEFF"/>
            </w:tcBorders>
          </w:tcPr>
          <w:p>
            <w:pPr>
              <w:jc w:val="right"/>
              <w:ind w:right="5499"/>
              <w:spacing w:after="0"/>
              <w:rPr>
                <w:sz w:val="20"/>
                <w:szCs w:val="20"/>
                <w:color w:val="auto"/>
              </w:rPr>
            </w:pPr>
            <w:r>
              <w:rPr>
                <w:rFonts w:ascii="Arial" w:cs="Arial" w:eastAsia="Arial" w:hAnsi="Arial"/>
                <w:sz w:val="16"/>
                <w:szCs w:val="16"/>
                <w:color w:val="auto"/>
              </w:rPr>
              <w:t>Total deferred</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(87,297)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5,356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(13,816)</w:t>
            </w:r>
          </w:p>
        </w:tc>
      </w:tr>
      <w:tr>
        <w:trPr>
          <w:trHeight w:val="24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33,432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19,578</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the standard U.S. federal statutory tax rate and our effective tax rate: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4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Year Ended June 30,</w:t>
            </w:r>
          </w:p>
        </w:tc>
        <w:tc>
          <w:tcPr>
            <w:tcW w:w="1540" w:type="dxa"/>
            <w:vAlign w:val="bottom"/>
            <w:tcBorders>
              <w:bottom w:val="single" w:sz="8" w:color="auto"/>
            </w:tcBorders>
          </w:tcPr>
          <w:p>
            <w:pPr>
              <w:spacing w:after="0"/>
              <w:rPr>
                <w:sz w:val="15"/>
                <w:szCs w:val="15"/>
                <w:color w:val="auto"/>
              </w:rPr>
            </w:pPr>
          </w:p>
        </w:tc>
      </w:tr>
      <w:tr>
        <w:trPr>
          <w:trHeight w:val="263"/>
        </w:trPr>
        <w:tc>
          <w:tcPr>
            <w:tcW w:w="64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2018</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federal statutory income tax rate</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28.0 %</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State taxes, net of federal effect</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(2.4)</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rate differential on non-U.S. earnings</w:t>
            </w: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(408.4)</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Swiss tax reform</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(3,779.0)</w:t>
            </w:r>
          </w:p>
        </w:tc>
        <w:tc>
          <w:tcPr>
            <w:tcW w:w="120" w:type="dxa"/>
            <w:vAlign w:val="bottom"/>
          </w:tcPr>
          <w:p>
            <w:pPr>
              <w:spacing w:after="0"/>
              <w:rPr>
                <w:sz w:val="22"/>
                <w:szCs w:val="22"/>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related items</w:t>
            </w: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(420.7)</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(15.1)</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U.S. tax reform</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(372.6)</w:t>
            </w:r>
          </w:p>
        </w:tc>
        <w:tc>
          <w:tcPr>
            <w:tcW w:w="120" w:type="dxa"/>
            <w:vAlign w:val="bottom"/>
          </w:tcPr>
          <w:p>
            <w:pPr>
              <w:spacing w:after="0"/>
              <w:rPr>
                <w:sz w:val="22"/>
                <w:szCs w:val="22"/>
                <w:color w:val="auto"/>
              </w:rPr>
            </w:pP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10.4</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759.1</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1,277.5</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6.7</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Irish foreign tax credit</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262.3</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Tax on repatriated earnings</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154.1</w:t>
            </w:r>
          </w:p>
        </w:tc>
        <w:tc>
          <w:tcPr>
            <w:tcW w:w="120" w:type="dxa"/>
            <w:vAlign w:val="bottom"/>
          </w:tcPr>
          <w:p>
            <w:pPr>
              <w:spacing w:after="0"/>
              <w:rPr>
                <w:sz w:val="22"/>
                <w:szCs w:val="22"/>
                <w:color w:val="auto"/>
              </w:rPr>
            </w:pP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Gain/loss on sale of subsidiary</w:t>
            </w: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(189.2)</w:t>
            </w:r>
          </w:p>
        </w:tc>
        <w:tc>
          <w:tcPr>
            <w:tcW w:w="12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Notional interest deduction (Italy)</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(1.9)</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Patent box (Italy)</w:t>
            </w: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Tax credits and incentives</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(4.8)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Non-US tax rate changes</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Business and withholding taxes</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2"/>
                <w:szCs w:val="22"/>
                <w:color w:val="auto"/>
              </w:rPr>
            </w:pP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0.8</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Nondeductible interest expense</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157.4</w:t>
            </w:r>
          </w:p>
        </w:tc>
        <w:tc>
          <w:tcPr>
            <w:tcW w:w="120" w:type="dxa"/>
            <w:vAlign w:val="bottom"/>
          </w:tcPr>
          <w:p>
            <w:pPr>
              <w:spacing w:after="0"/>
              <w:rPr>
                <w:sz w:val="22"/>
                <w:szCs w:val="22"/>
                <w:color w:val="auto"/>
              </w:rPr>
            </w:pP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2.9</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non-deductible expenses</w:t>
            </w: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(0.1)</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Tax on unremitted earnings</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2"/>
                <w:szCs w:val="22"/>
                <w:color w:val="auto"/>
              </w:rPr>
            </w:pP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0.7</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tax residence</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Nondeductible acquisition-related payments</w:t>
            </w:r>
          </w:p>
        </w:tc>
        <w:tc>
          <w:tcPr>
            <w:tcW w:w="1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3.6</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Changes to variable interest entities</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Changes to derivative instruments</w:t>
            </w:r>
          </w:p>
        </w:tc>
        <w:tc>
          <w:tcPr>
            <w:tcW w:w="1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6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w:t>
            </w:r>
          </w:p>
        </w:tc>
      </w:tr>
      <w:tr>
        <w:trPr>
          <w:trHeight w:val="27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(0.8)</w:t>
            </w:r>
          </w:p>
        </w:tc>
      </w:tr>
      <w:tr>
        <w:trPr>
          <w:trHeight w:val="240"/>
        </w:trPr>
        <w:tc>
          <w:tcPr>
            <w:tcW w:w="640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(2,697.0)%</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26.3 %</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r>
      <w:tr>
        <w:trPr>
          <w:trHeight w:val="20"/>
        </w:trPr>
        <w:tc>
          <w:tcPr>
            <w:tcW w:w="6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For the year ended June 30, 2020, our effective tax rate was significantly impacted by Swiss Tax Reform, as discussed in more detail below. Without the Swiss Tax Reform benefit, our effective tax rate for the year was above our U.S. federal statutory tax rate primarily due to non-deductible goodwill impairments and losses in certain</w:t>
      </w:r>
    </w:p>
    <w:p>
      <w:pPr>
        <w:sectPr>
          <w:pgSz w:w="11900" w:h="16838" w:orient="portrait"/>
          <w:cols w:equalWidth="0" w:num="1">
            <w:col w:w="11240"/>
          </w:cols>
          <w:pgMar w:left="320" w:top="544" w:right="3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544" w:right="339" w:bottom="1440" w:gutter="0" w:footer="0" w:header="0"/>
          <w:type w:val="continuous"/>
        </w:sectPr>
      </w:pPr>
    </w:p>
    <w:bookmarkStart w:id="99" w:name="page100"/>
    <w:bookmarkEnd w:id="99"/>
    <w:p>
      <w:pPr>
        <w:jc w:val="both"/>
        <w:ind w:right="20"/>
        <w:spacing w:after="0" w:line="254" w:lineRule="auto"/>
        <w:rPr>
          <w:sz w:val="20"/>
          <w:szCs w:val="20"/>
          <w:color w:val="auto"/>
        </w:rPr>
      </w:pPr>
      <w:r>
        <w:rPr>
          <w:rFonts w:ascii="Arial" w:cs="Arial" w:eastAsia="Arial" w:hAnsi="Arial"/>
          <w:sz w:val="18"/>
          <w:szCs w:val="18"/>
          <w:color w:val="auto"/>
        </w:rPr>
        <w:t>jurisdictions for which we cannot recognize a tax benefit. The jurisdictions that have the most significant impact to our non-U.S. tax provision include Australia, Austria, Canada, France, Germany, Ireland, Italy, Mexico, the Netherlands, Spain and Switzerland. The applicable tax rates in these jurisdictions range from 10% to 32%. The total tax rate benefit from operating in non-U.S. jurisdictions is included in the line “Tax rate differential on non-U.S. earnings” in the above tax rate reconciliation table.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June 30, 2020, our effective tax rate was (2,697.0)% as compared to the prior year effective tax rate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26.3%. The decrease in our effective tax rate as compared to the prior year is primarily due to Swiss Tax Reform. Also, in addition to a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favorable mix of earnings year-over-year, we recognized tax benefits of $15,705 related to excess tax benefits from share 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as compared to $1,539 in fiscal 2019, and $11,188 for the re-measurement of U.S. tax losses that will be carried back to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 with higher U.S. federal tax rates under the US CARES Act. We also recognized tax expense of $41,900 to record a full valuation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allowance against our U.S. deferred tax assets and a portion for our Irish deferred tax assets. The change in judgment to no longer recognize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was driven by decreased profits due to impacts of the COVID-19 pandemic and goodwill impairments. During fiscal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we recognized "Patent Box" tax benefits granted to our Pixartprinting business in Italy of $728, as compared to $4,260 in fiscal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representing three years' worth of benefits. Our fiscal year 2019 effective tax rate was lower than fiscal year 2018 primarily due a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favorable geographic mix on increased profits and the Italian Patent Box benefits, offset by decreased share-based compensation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benefits of $1,539 as compared to $12,802 in fiscal 2018.</w:t>
      </w:r>
    </w:p>
    <w:p>
      <w:pPr>
        <w:spacing w:after="0" w:line="171"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On October 25, 2019, the canton of Zurich enacted tax law changes by publishing the results of its referendum to adopt the Federal Act on Tax Reform and AHV Financing (TRAF), which we refer to as Swiss Tax Reform. Swiss Tax Reform was effective as of January 1, 2020 and included the abolishment of various favorable federal and cantonal tax regimes. Swiss Tax Reform provided transitional relief measures for companies that lost the tax benefit of a ruling, including a "step-up" for amortizable goodwill, equal to the amount of future tax benefit they would have received under their existing ruling, subject to certain limitations. We recognized a tax benefit of $113,482 to establish new Swiss deferred tax assets related to transitional relief measures and to remeasure our existing Swiss deferred tax assets and liabilities. We don't expect to realize the majority of this benefit until fiscal 2025 through fiscal 2030.</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355" w:right="33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color w:val="auto"/>
        </w:rPr>
        <w:t>Significant components of our deferred income tax assets and liabilities consisted of the following at June 30, 2020 and 2019:</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3"/>
                <w:szCs w:val="13"/>
                <w:color w:val="auto"/>
              </w:rPr>
            </w:pPr>
          </w:p>
        </w:tc>
        <w:tc>
          <w:tcPr>
            <w:tcW w:w="1180" w:type="dxa"/>
            <w:vAlign w:val="bottom"/>
          </w:tcPr>
          <w:p>
            <w:pPr>
              <w:jc w:val="right"/>
              <w:ind w:right="421"/>
              <w:spacing w:after="0"/>
              <w:rPr>
                <w:sz w:val="20"/>
                <w:szCs w:val="20"/>
                <w:color w:val="auto"/>
              </w:rPr>
            </w:pPr>
            <w:r>
              <w:rPr>
                <w:rFonts w:ascii="Arial" w:cs="Arial" w:eastAsia="Arial" w:hAnsi="Arial"/>
                <w:sz w:val="13"/>
                <w:szCs w:val="13"/>
                <w:b w:val="1"/>
                <w:bCs w:val="1"/>
                <w:color w:val="auto"/>
              </w:rPr>
              <w:t>June 30,</w:t>
            </w:r>
          </w:p>
        </w:tc>
      </w:tr>
      <w:tr>
        <w:trPr>
          <w:trHeight w:val="177"/>
        </w:trPr>
        <w:tc>
          <w:tcPr>
            <w:tcW w:w="8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2019</w:t>
            </w:r>
          </w:p>
        </w:tc>
      </w:tr>
      <w:tr>
        <w:trPr>
          <w:trHeight w:val="247"/>
        </w:trPr>
        <w:tc>
          <w:tcPr>
            <w:tcW w:w="81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80"/>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Swiss tax reform amortizable goodwill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127,965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60"/>
        </w:trPr>
        <w:tc>
          <w:tcPr>
            <w:tcW w:w="814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0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62,374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80,832</w:t>
            </w:r>
          </w:p>
        </w:tc>
      </w:tr>
      <w:tr>
        <w:trPr>
          <w:trHeight w:val="280"/>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Capital leases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33,078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31,010</w:t>
            </w:r>
          </w:p>
        </w:tc>
      </w:tr>
      <w:tr>
        <w:trPr>
          <w:trHeight w:val="260"/>
        </w:trPr>
        <w:tc>
          <w:tcPr>
            <w:tcW w:w="81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4,308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3,315</w:t>
            </w:r>
          </w:p>
        </w:tc>
      </w:tr>
      <w:tr>
        <w:trPr>
          <w:trHeight w:val="280"/>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6,441</w:t>
            </w:r>
          </w:p>
        </w:tc>
      </w:tr>
      <w:tr>
        <w:trPr>
          <w:trHeight w:val="260"/>
        </w:trPr>
        <w:tc>
          <w:tcPr>
            <w:tcW w:w="814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9,482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11,241</w:t>
            </w:r>
          </w:p>
        </w:tc>
      </w:tr>
      <w:tr>
        <w:trPr>
          <w:trHeight w:val="280"/>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Credit and other carryforwards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29,216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24,714</w:t>
            </w:r>
          </w:p>
        </w:tc>
      </w:tr>
      <w:tr>
        <w:trPr>
          <w:trHeight w:val="260"/>
        </w:trPr>
        <w:tc>
          <w:tcPr>
            <w:tcW w:w="8140" w:type="dxa"/>
            <w:vAlign w:val="bottom"/>
          </w:tcPr>
          <w:p>
            <w:pPr>
              <w:ind w:left="380"/>
              <w:spacing w:after="0"/>
              <w:rPr>
                <w:sz w:val="20"/>
                <w:szCs w:val="20"/>
                <w:color w:val="auto"/>
              </w:rPr>
            </w:pPr>
            <w:r>
              <w:rPr>
                <w:rFonts w:ascii="Arial" w:cs="Arial" w:eastAsia="Arial" w:hAnsi="Arial"/>
                <w:sz w:val="16"/>
                <w:szCs w:val="16"/>
                <w:color w:val="auto"/>
              </w:rPr>
              <w:t>Derivative financial instruments</w:t>
            </w:r>
          </w:p>
        </w:tc>
        <w:tc>
          <w:tcPr>
            <w:tcW w:w="30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6,739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2,924</w:t>
            </w:r>
          </w:p>
        </w:tc>
      </w:tr>
      <w:tr>
        <w:trPr>
          <w:trHeight w:val="273"/>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7,551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3,167</w:t>
            </w:r>
          </w:p>
        </w:tc>
      </w:tr>
      <w:tr>
        <w:trPr>
          <w:trHeight w:val="247"/>
        </w:trPr>
        <w:tc>
          <w:tcPr>
            <w:tcW w:w="8140" w:type="dxa"/>
            <w:vAlign w:val="bottom"/>
          </w:tcPr>
          <w:p>
            <w:pPr>
              <w:ind w:left="700"/>
              <w:spacing w:after="0"/>
              <w:rPr>
                <w:sz w:val="20"/>
                <w:szCs w:val="20"/>
                <w:color w:val="auto"/>
              </w:rPr>
            </w:pPr>
            <w:r>
              <w:rPr>
                <w:rFonts w:ascii="Arial" w:cs="Arial" w:eastAsia="Arial" w:hAnsi="Arial"/>
                <w:sz w:val="16"/>
                <w:szCs w:val="16"/>
                <w:color w:val="auto"/>
              </w:rPr>
              <w:t>Subtotal</w:t>
            </w:r>
          </w:p>
        </w:tc>
        <w:tc>
          <w:tcPr>
            <w:tcW w:w="300" w:type="dxa"/>
            <w:vAlign w:val="bottom"/>
          </w:tcPr>
          <w:p>
            <w:pPr>
              <w:spacing w:after="0"/>
              <w:rPr>
                <w:sz w:val="21"/>
                <w:szCs w:val="21"/>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286,966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163,644</w:t>
            </w:r>
          </w:p>
        </w:tc>
      </w:tr>
      <w:tr>
        <w:trPr>
          <w:trHeight w:val="273"/>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(91,575)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(59,410)</w:t>
            </w:r>
          </w:p>
        </w:tc>
      </w:tr>
      <w:tr>
        <w:trPr>
          <w:trHeight w:val="250"/>
        </w:trPr>
        <w:tc>
          <w:tcPr>
            <w:tcW w:w="814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 deferred tax assets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195,391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104,234</w:t>
            </w:r>
          </w:p>
        </w:tc>
      </w:tr>
      <w:tr>
        <w:trPr>
          <w:trHeight w:val="25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0"/>
        </w:trPr>
        <w:tc>
          <w:tcPr>
            <w:tcW w:w="81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(41,017)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(50,091)</w:t>
            </w:r>
          </w:p>
        </w:tc>
      </w:tr>
      <w:tr>
        <w:trPr>
          <w:trHeight w:val="280"/>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Capital leases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(27,694)</w:t>
            </w:r>
          </w:p>
        </w:tc>
      </w:tr>
      <w:tr>
        <w:trPr>
          <w:trHeight w:val="260"/>
        </w:trPr>
        <w:tc>
          <w:tcPr>
            <w:tcW w:w="8140" w:type="dxa"/>
            <w:vAlign w:val="bottom"/>
          </w:tcPr>
          <w:p>
            <w:pPr>
              <w:ind w:left="380"/>
              <w:spacing w:after="0"/>
              <w:rPr>
                <w:sz w:val="20"/>
                <w:szCs w:val="20"/>
                <w:color w:val="auto"/>
              </w:rPr>
            </w:pPr>
            <w:r>
              <w:rPr>
                <w:rFonts w:ascii="Arial" w:cs="Arial" w:eastAsia="Arial" w:hAnsi="Arial"/>
                <w:sz w:val="16"/>
                <w:szCs w:val="16"/>
                <w:color w:val="auto"/>
              </w:rPr>
              <w:t>Investment in flow-through entity</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(3,078)</w:t>
            </w:r>
          </w:p>
        </w:tc>
      </w:tr>
      <w:tr>
        <w:trPr>
          <w:trHeight w:val="280"/>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on unremitted earnings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w:t>
            </w:r>
          </w:p>
        </w:tc>
      </w:tr>
      <w:tr>
        <w:trPr>
          <w:trHeight w:val="263"/>
        </w:trPr>
        <w:tc>
          <w:tcPr>
            <w:tcW w:w="81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r>
      <w:tr>
        <w:trPr>
          <w:trHeight w:val="250"/>
        </w:trPr>
        <w:tc>
          <w:tcPr>
            <w:tcW w:w="81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deferred tax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(85,705)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(88,859)</w:t>
            </w:r>
          </w:p>
        </w:tc>
      </w:tr>
      <w:tr>
        <w:trPr>
          <w:trHeight w:val="240"/>
        </w:trPr>
        <w:tc>
          <w:tcPr>
            <w:tcW w:w="814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109,686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15,375</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 assessing the realizability of deferred tax assets, we consider whether it is more likely than not that some or all of the deferred tax assets will not be realized. The increase in the valuation allowance from the prior year relates primarily to losses in certain jurisdictions (mainly the United States, Ireland, Brazil, China, Japan, and the United Kingdom) for which management has determined we cannot recognize the related deferred tax assets based on trailing three-year pre-tax profit or loss adjusted for permanent book versus tax differences. In addition, losses on certain of our derivative financial instruments grew, resulting in an additional increase to the valuation allowance. Also, Cimpress plc generated $2,442 of Irish foreign tax credit carryforwards which do not expire, but for which management has determined it is more likely than not that these will not be utilized upon future repatriation. Offsetting the overall increase in the valuation allowance, we wrote-off deferred tax assets of $14,240 and the corresponding valuation allowance related to Cimpress N.V.'s Irish foreign tax credit carryforwards as these do not transfer to Cimpress plc subsequent to the Irish Merger.</w:t>
      </w:r>
    </w:p>
    <w:p>
      <w:pPr>
        <w:spacing w:after="0" w:line="21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have recorded a full valuation allowance against $6,739 of deferred tax asset related to interest rate swaps for which management has determined that it is more likely than not that the deferred tax asset will not be recognized in the foreseeable future. The impact of this deferred tax asset and associated valuation allowance of $ 5,213 has been recorded in Accumulated Other Comprehensive Loss on the balance sheet. The remaining valuation allowance of $1,526 was recorded to continuing operations. Additionally, we have recorded valuation allowances of $22,180 and $4,114 against deferred tax assets related to U.S. research and development credits and U.S. capital loss carryforwards, respectively, for which management has determined that it is more likely than not that these will not be utilized within the applicable carryforward periods available under local law.</w:t>
      </w: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recorded a partial valuation allowance of $1,149 related to the Swiss Tax Reform amortizable goodwill deferred tax asset as our current projections indicate we may not be able to utilize the full benefit. We have not recorded a valuation allowance against $ 20,036 of deferred tax asset associated with prior year tax losses generated in Switzerland. Management believes there is sufficient positive evidence in the form of historical and future projected profitability to conclude that it is more likely than not that all of the losses in Switzerland will be utilized against future taxable profits within the available carryforward period. Our assessments are reliant on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355" w:right="339" w:bottom="1440" w:gutter="0" w:footer="0" w:header="0"/>
        </w:sectPr>
      </w:pPr>
    </w:p>
    <w:bookmarkStart w:id="101" w:name="page102"/>
    <w:bookmarkEnd w:id="101"/>
    <w:p>
      <w:pPr>
        <w:ind w:right="100"/>
        <w:spacing w:after="0" w:line="256" w:lineRule="auto"/>
        <w:rPr>
          <w:sz w:val="20"/>
          <w:szCs w:val="20"/>
          <w:color w:val="auto"/>
        </w:rPr>
      </w:pPr>
      <w:r>
        <w:rPr>
          <w:rFonts w:ascii="Arial" w:cs="Arial" w:eastAsia="Arial" w:hAnsi="Arial"/>
          <w:sz w:val="18"/>
          <w:szCs w:val="18"/>
          <w:color w:val="auto"/>
        </w:rPr>
        <w:t>attainment of our future operating profit goals. Failure to achieve these operating profit goals may change our assessment of these deferred tax assets, and such change would result in additional valuation allowance and an increase in income tax expense to be recorded in the period of the change in assessment. We will continue to review our forecasts and profitability trends on a quarterly basis.</w:t>
      </w:r>
    </w:p>
    <w:p>
      <w:pPr>
        <w:spacing w:after="0" w:line="202"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Based on the weight of available evidence at June 30, 2020, management believes that it is more likely than not that all other net deferred tax assets will be realized in the foreseeable future. We will continue to assess the realization of the deferred tax assets based on operating results on a quarterly basis.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the valuation allowance for the year ended June 30,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2019</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earnings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other accounts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2020</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31" w:hanging="831"/>
        <w:spacing w:after="0"/>
        <w:tabs>
          <w:tab w:leader="none" w:pos="831" w:val="left"/>
        </w:tabs>
        <w:numPr>
          <w:ilvl w:val="0"/>
          <w:numId w:val="64"/>
        </w:numPr>
        <w:rPr>
          <w:rFonts w:ascii="Arial" w:cs="Arial" w:eastAsia="Arial" w:hAnsi="Arial"/>
          <w:sz w:val="16"/>
          <w:szCs w:val="16"/>
          <w:color w:val="auto"/>
        </w:rPr>
      </w:pPr>
      <w:r>
        <w:rPr>
          <w:rFonts w:ascii="Arial" w:cs="Arial" w:eastAsia="Arial" w:hAnsi="Arial"/>
          <w:sz w:val="16"/>
          <w:szCs w:val="16"/>
          <w:color w:val="auto"/>
        </w:rPr>
        <w:t>59,410</w:t>
      </w:r>
    </w:p>
    <w:p>
      <w:pPr>
        <w:spacing w:after="0" w:line="59" w:lineRule="exact"/>
        <w:rPr>
          <w:rFonts w:ascii="Arial" w:cs="Arial" w:eastAsia="Arial" w:hAnsi="Arial"/>
          <w:sz w:val="16"/>
          <w:szCs w:val="16"/>
          <w:color w:val="auto"/>
        </w:rPr>
      </w:pPr>
    </w:p>
    <w:p>
      <w:pPr>
        <w:ind w:left="831"/>
        <w:spacing w:after="0"/>
        <w:rPr>
          <w:rFonts w:ascii="Arial" w:cs="Arial" w:eastAsia="Arial" w:hAnsi="Arial"/>
          <w:sz w:val="16"/>
          <w:szCs w:val="16"/>
          <w:color w:val="auto"/>
        </w:rPr>
      </w:pPr>
      <w:r>
        <w:rPr>
          <w:rFonts w:ascii="Arial" w:cs="Arial" w:eastAsia="Arial" w:hAnsi="Arial"/>
          <w:sz w:val="16"/>
          <w:szCs w:val="16"/>
          <w:color w:val="auto"/>
        </w:rPr>
        <w:t>36,833</w:t>
      </w:r>
    </w:p>
    <w:p>
      <w:pPr>
        <w:spacing w:after="0" w:line="59" w:lineRule="exact"/>
        <w:rPr>
          <w:rFonts w:ascii="Arial" w:cs="Arial" w:eastAsia="Arial" w:hAnsi="Arial"/>
          <w:sz w:val="16"/>
          <w:szCs w:val="16"/>
          <w:color w:val="auto"/>
        </w:rPr>
      </w:pPr>
    </w:p>
    <w:p>
      <w:pPr>
        <w:ind w:left="871"/>
        <w:spacing w:after="0"/>
        <w:rPr>
          <w:rFonts w:ascii="Arial" w:cs="Arial" w:eastAsia="Arial" w:hAnsi="Arial"/>
          <w:sz w:val="16"/>
          <w:szCs w:val="16"/>
          <w:color w:val="auto"/>
        </w:rPr>
      </w:pPr>
      <w:r>
        <w:rPr>
          <w:rFonts w:ascii="Arial" w:cs="Arial" w:eastAsia="Arial" w:hAnsi="Arial"/>
          <w:sz w:val="15"/>
          <w:szCs w:val="15"/>
          <w:color w:val="auto"/>
        </w:rPr>
        <w:t>(6,198)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26670</wp:posOffset>
            </wp:positionV>
            <wp:extent cx="9258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64" w:lineRule="exact"/>
        <w:rPr>
          <w:sz w:val="20"/>
          <w:szCs w:val="20"/>
          <w:color w:val="auto"/>
        </w:rPr>
      </w:pPr>
    </w:p>
    <w:p>
      <w:pPr>
        <w:ind w:left="831" w:hanging="831"/>
        <w:spacing w:after="0"/>
        <w:tabs>
          <w:tab w:leader="none" w:pos="8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90,045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19050</wp:posOffset>
            </wp:positionV>
            <wp:extent cx="925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36195</wp:posOffset>
            </wp:positionV>
            <wp:extent cx="9258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2">
            <w:col w:w="9089" w:space="720"/>
            <w:col w:w="1391"/>
          </w:cols>
          <w:pgMar w:left="320" w:top="355" w:right="379" w:bottom="1440" w:gutter="0" w:footer="0" w:header="0"/>
          <w:type w:val="continuous"/>
        </w:sectPr>
      </w:pPr>
    </w:p>
    <w:p>
      <w:pPr>
        <w:ind w:left="260" w:right="260" w:hanging="252"/>
        <w:spacing w:after="0" w:line="258" w:lineRule="auto"/>
        <w:tabs>
          <w:tab w:leader="none" w:pos="233"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 is primarily related to U.S. research and development credits and capital loss carryforwards, U.S. and non-U.S. net operating losses, Irish foreign tax credits and Swiss tax reform amortizable goodwill.</w:t>
      </w:r>
    </w:p>
    <w:p>
      <w:pPr>
        <w:spacing w:after="0" w:line="58" w:lineRule="exact"/>
        <w:rPr>
          <w:rFonts w:ascii="Arial" w:cs="Arial" w:eastAsia="Arial" w:hAnsi="Arial"/>
          <w:sz w:val="14"/>
          <w:szCs w:val="14"/>
          <w:color w:val="auto"/>
        </w:rPr>
      </w:pPr>
    </w:p>
    <w:p>
      <w:pPr>
        <w:ind w:left="260" w:right="620" w:hanging="252"/>
        <w:spacing w:after="0" w:line="258" w:lineRule="auto"/>
        <w:tabs>
          <w:tab w:leader="none" w:pos="233"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 is primarily related to decrease in deferred tax assets on non-U.S. net operating losses due to currency exchange rate changes and sale of VIDA, offset by unrealized losses on interest rate swaps included in Accumulated Other Comprehensive Loss.</w:t>
      </w:r>
    </w:p>
    <w:p>
      <w:pPr>
        <w:spacing w:after="0" w:line="16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As of June 30, 2020, we had gross U.S. federal and apportioned state net operating losses of approximately $41,107 that expire on various dates from fiscal 2036 through fiscal 2040 or with unlimited carryforward. We also had gross non-U.S. net operating loss carryforwards of $426,027, a significant amount of which begin to expire in fiscal 2023, with the remaining amounts expiring on various dates from fiscal 2021 through fiscal 2029 or with unlimited carryforward. In addition, we had $ 26,814 of tax credit carryforwards primarily related to U.S. federal and state research and development credits, which expire on various dates beginning in fiscal 2031 or with unlimited carryforward. Lastly, we had $ 18,164 and $5,662 of U.S. federal and apportioned state capital loss carryforwards, respectively, which expire in fiscal 2025. The benefits of these carryforwards are dependent upon the generation of taxable income in the jurisdictions where they arose.</w:t>
      </w:r>
    </w:p>
    <w:p>
      <w:pPr>
        <w:spacing w:after="0" w:line="17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consider the following factors, among others, in evaluating our plans for indefinite reinvestment of our subsidiaries’ earnings: (i) the forecasts, budgets and financial requirements of both our parent company and its subsidiaries, both for the long term and for the short term; (ii) the ability of Cimpress plc to fund its operations and obligations with earnings from other businesses within the global group without incurring substantial tax costs; and (iii) the tax consequences of any decision to reinvest earnings of any subsidiary. As of June 30, 2020, no tax provision has been made for $36,584 of undistributed earnings of certain of our subsidiaries as these earnings are considered indefinitely reinvested. If, in the future, we decide to repatriate the undistributed earnings from these subsidiaries in the form of dividends or otherwise, we could be subject to withholding taxes payable in the range of $9,000 to $10,000 at that time. A cumulative deferred tax liability of $6,203 has been recorded attributable to undistributed earnings that we have deemed are not indefinitely reinvested. The remaining undistributed earnings of our subsidiaries are not deemed to be indefinitely reinvested and can be repatriated with no tax cost. Accordingly, there has been no provision for income or withholding taxes on these earnings.</w:t>
      </w:r>
    </w:p>
    <w:p>
      <w:pPr>
        <w:spacing w:after="0" w:line="184"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currently benefit from various income tax holidays in certain jurisdictions. The tax holidays expire on various dates from October 2020 through August 2022. When the tax holidays expire, we will be subject to tax at rates ranging from 10% to 30%. As a result of the tax holidays, our net income was higher by $457 for fiscal 2020.</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355" w:right="379" w:bottom="1440" w:gutter="0" w:footer="0" w:header="0"/>
          <w:type w:val="continuous"/>
        </w:sectPr>
      </w:pPr>
    </w:p>
    <w:bookmarkStart w:id="102" w:name="page103"/>
    <w:bookmarkEnd w:id="102"/>
    <w:p>
      <w:pPr>
        <w:ind w:left="660"/>
        <w:spacing w:after="0"/>
        <w:rPr>
          <w:sz w:val="20"/>
          <w:szCs w:val="20"/>
          <w:color w:val="auto"/>
        </w:rPr>
      </w:pPr>
      <w:r>
        <w:rPr>
          <w:rFonts w:ascii="Arial" w:cs="Arial" w:eastAsia="Arial" w:hAnsi="Arial"/>
          <w:sz w:val="18"/>
          <w:szCs w:val="18"/>
          <w:color w:val="auto"/>
        </w:rPr>
        <w:t>A reconciliation of the gross beginning and ending amount of unrecognized tax benefits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June 30, 2017</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5,383</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612</w:t>
            </w:r>
          </w:p>
        </w:tc>
      </w:tr>
      <w:tr>
        <w:trPr>
          <w:trHeight w:val="25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5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audit settlements</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46"/>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Balance June 30, 2018</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4,705</w:t>
            </w:r>
          </w:p>
        </w:tc>
      </w:tr>
      <w:tr>
        <w:trPr>
          <w:trHeight w:val="25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201</w:t>
            </w:r>
          </w:p>
        </w:tc>
      </w:tr>
      <w:tr>
        <w:trPr>
          <w:trHeight w:val="25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(763)</w:t>
            </w:r>
          </w:p>
        </w:tc>
      </w:tr>
      <w:tr>
        <w:trPr>
          <w:trHeight w:val="246"/>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Balance June 30, 2019</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4,721</w:t>
            </w:r>
          </w:p>
        </w:tc>
      </w:tr>
      <w:tr>
        <w:trPr>
          <w:trHeight w:val="25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based on tax positions related to the current tax year</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prior tax years</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769</w:t>
            </w:r>
          </w:p>
        </w:tc>
      </w:tr>
      <w:tr>
        <w:trPr>
          <w:trHeight w:val="25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based on tax positions related to prior tax years</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3"/>
        </w:trPr>
        <w:tc>
          <w:tcPr>
            <w:tcW w:w="9780" w:type="dxa"/>
            <w:vAlign w:val="bottom"/>
          </w:tcPr>
          <w:p>
            <w:pPr>
              <w:ind w:left="40"/>
              <w:spacing w:after="0"/>
              <w:rPr>
                <w:sz w:val="20"/>
                <w:szCs w:val="20"/>
                <w:color w:val="auto"/>
              </w:rPr>
            </w:pPr>
            <w:r>
              <w:rPr>
                <w:rFonts w:ascii="Arial" w:cs="Arial" w:eastAsia="Arial" w:hAnsi="Arial"/>
                <w:sz w:val="16"/>
                <w:szCs w:val="16"/>
                <w:color w:val="auto"/>
              </w:rPr>
              <w:t>Reductions due to audit settlements</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5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9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Cumulative translation adjustment</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4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June 30, 2020</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5,847</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For the year ended June 30, 2020, the amount of unrecognized tax benefits (exclusive of interest) that, if recognized, would impact the effective tax rate is $912. We recognize interest and, if applicable, penalties related to unrecognized tax benefits in income tax expense. The accrued interest and penalties recognized as of June 30, 2020, 2019 and 2018 were $384, $515 and $448, respectively. It is reasonably possible that a further change in unrecognized tax benefits in the range of $165 to $450 may occur within the next twelve months related to the settlement of one or more audits or the lapse of applicable statutes of limitations. We believe we have appropriately provided for all tax uncertainties.</w:t>
      </w:r>
    </w:p>
    <w:p>
      <w:pPr>
        <w:spacing w:after="0" w:line="208" w:lineRule="exact"/>
        <w:rPr>
          <w:sz w:val="20"/>
          <w:szCs w:val="20"/>
          <w:color w:val="auto"/>
        </w:rPr>
      </w:pPr>
    </w:p>
    <w:p>
      <w:pPr>
        <w:jc w:val="both"/>
        <w:ind w:right="380" w:firstLine="648"/>
        <w:spacing w:after="0" w:line="256"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2014 through 2019 remain open for examination by the United States Internal Revenue Service (“IRS”) and the years 2014 through 2019 remain open for examination in the various states and non-US tax jurisdictions in which we file tax returns.</w:t>
      </w:r>
    </w:p>
    <w:p>
      <w:pPr>
        <w:spacing w:after="0" w:line="20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are currently under income tax audit in certain jurisdictions globally.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35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14. Noncontrolling Interests</w:t>
      </w:r>
    </w:p>
    <w:p>
      <w:pPr>
        <w:spacing w:after="0" w:line="20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For some of our subsidiaries, we own a controlling equity stake, and a third party or key member of the business' management team owns a minority portion of the equity. The balance sheet and operating activity of these entities are included in our consolidated financial statements and we adjust the net income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 We recognize redeemable noncontrolling interests at fair value on the sale or acquisition date and adjust to the redemption value on a periodic basis with the offset to retained earnings in the consolidated balance sheet. If the formulaic redemption value exceeds the fair value of the noncontrolling interest, then the accretion to redemption value is offset to the net (income) loss attributable to noncontrolling interest in our consolidated statement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PrintBrothers</w:t>
      </w:r>
    </w:p>
    <w:p>
      <w:pPr>
        <w:spacing w:after="0" w:line="203"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During the fourth quarter of fiscal 2019, we sold a minority equity interest in each of the three businesses within our PrintBrothers reportable segment to members of the management team. We received proceeds of €50,173 ($57,046 based on the exchange rate on the date we received the proceeds) in exchange for an equity interest in each of the businesses ranging from 12% to 13%. As of June 30, 2019, we recognized the redeemable noncontrolling interest at fair value of $57,046. The put options associated with the redeemable noncontrolling interest are exercisable beginning in 2021, while the associated call options become exercisable in 2026. During the second quarter of fiscal 2020, we recorded an adjustment of $5,493 to increase the carrying value to the estimated redemption amounts, with the offset recognized in retained earnings in the consolidated balance sheet, since the estimated redemption amounts were less than the fair value. As of June 30, 2020, the redemption value was less than the carrying value, due in part to the decline in performance driven by the COVID-19 pandemic, and therefore no adjustment was required.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Businesses</w:t>
      </w:r>
    </w:p>
    <w:p>
      <w:pPr>
        <w:spacing w:after="0" w:line="24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October 1, 2018, we acquired approximately 99% of the outstanding equity interests of Build A Sign LLC. The remaining 1% is considered a redeemable noncontrolling equity interest, as it is redeemable for cash based on future financial results through put and call rights and not solely within our control. On the acquisition date, we recognized the redeemable noncontrolling interest at fair value of $3,356. As of June 30, 2020, the redemption value was less than the carrying value, and therefore no adjustment was required.</w:t>
      </w:r>
    </w:p>
    <w:p>
      <w:pPr>
        <w:spacing w:after="0" w:line="204"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On July 2, 2018, we acquired approximately 73% of the shares of VIDA Group Co. and on April 10, 2020, we sold all of the shares we held in the VIDA business. Prior to the sale, the carrying value of the VIDA redeemable noncontrolling equity interest was zero.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522"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color w:val="auto"/>
        </w:rPr>
        <w:t>The following table presents the reconciliation of changes in our redeemable noncontrolling interests: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780" w:type="dxa"/>
            <w:vAlign w:val="bottom"/>
          </w:tcPr>
          <w:p>
            <w:pPr>
              <w:ind w:left="40"/>
              <w:spacing w:after="0"/>
              <w:rPr>
                <w:sz w:val="20"/>
                <w:szCs w:val="20"/>
                <w:color w:val="auto"/>
              </w:rPr>
            </w:pPr>
            <w:r>
              <w:rPr>
                <w:rFonts w:ascii="Arial" w:cs="Arial" w:eastAsia="Arial" w:hAnsi="Arial"/>
                <w:sz w:val="16"/>
                <w:szCs w:val="16"/>
                <w:color w:val="auto"/>
              </w:rPr>
              <w:t>Balance as of June 30, 2018</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86,151</w:t>
            </w:r>
          </w:p>
        </w:tc>
      </w:tr>
      <w:tr>
        <w:trPr>
          <w:trHeight w:val="28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noncontrolling interest</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57,046</w:t>
            </w:r>
          </w:p>
        </w:tc>
      </w:tr>
      <w:tr>
        <w:trPr>
          <w:trHeight w:val="260"/>
        </w:trPr>
        <w:tc>
          <w:tcPr>
            <w:tcW w:w="9780" w:type="dxa"/>
            <w:vAlign w:val="bottom"/>
          </w:tcPr>
          <w:p>
            <w:pPr>
              <w:ind w:left="40"/>
              <w:spacing w:after="0"/>
              <w:rPr>
                <w:sz w:val="20"/>
                <w:szCs w:val="20"/>
                <w:color w:val="auto"/>
              </w:rPr>
            </w:pPr>
            <w:r>
              <w:rPr>
                <w:rFonts w:ascii="Arial" w:cs="Arial" w:eastAsia="Arial" w:hAnsi="Arial"/>
                <w:sz w:val="16"/>
                <w:szCs w:val="16"/>
                <w:color w:val="auto"/>
              </w:rPr>
              <w:t>Acquisition of noncontrolling interest</w:t>
            </w:r>
          </w:p>
        </w:tc>
        <w:tc>
          <w:tcPr>
            <w:tcW w:w="4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9,061</w:t>
            </w:r>
          </w:p>
        </w:tc>
      </w:tr>
      <w:tr>
        <w:trPr>
          <w:trHeight w:val="28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Accretion to redemption value recognized in retained earnings</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7,133</w:t>
            </w:r>
          </w:p>
        </w:tc>
      </w:tr>
      <w:tr>
        <w:trPr>
          <w:trHeight w:val="260"/>
        </w:trPr>
        <w:tc>
          <w:tcPr>
            <w:tcW w:w="978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(1,566)</w:t>
            </w:r>
          </w:p>
        </w:tc>
      </w:tr>
      <w:tr>
        <w:trPr>
          <w:trHeight w:val="28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r>
      <w:tr>
        <w:trPr>
          <w:trHeight w:val="260"/>
        </w:trPr>
        <w:tc>
          <w:tcPr>
            <w:tcW w:w="9780" w:type="dxa"/>
            <w:vAlign w:val="bottom"/>
          </w:tcPr>
          <w:p>
            <w:pPr>
              <w:ind w:left="40"/>
              <w:spacing w:after="0"/>
              <w:rPr>
                <w:sz w:val="20"/>
                <w:szCs w:val="20"/>
                <w:color w:val="auto"/>
              </w:rPr>
            </w:pPr>
            <w:r>
              <w:rPr>
                <w:rFonts w:ascii="Arial" w:cs="Arial" w:eastAsia="Arial" w:hAnsi="Arial"/>
                <w:sz w:val="16"/>
                <w:szCs w:val="16"/>
                <w:color w:val="auto"/>
              </w:rPr>
              <w:t>Purchase of noncontrolling interests</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(85,520)</w:t>
            </w:r>
          </w:p>
        </w:tc>
      </w:tr>
      <w:tr>
        <w:trPr>
          <w:trHeight w:val="28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 to additional-paid in capital for purchase of noncontrolling interest</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w:t>
            </w:r>
          </w:p>
        </w:tc>
      </w:tr>
      <w:tr>
        <w:trPr>
          <w:trHeight w:val="260"/>
        </w:trPr>
        <w:tc>
          <w:tcPr>
            <w:tcW w:w="978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w:t>
            </w:r>
          </w:p>
        </w:tc>
      </w:tr>
      <w:tr>
        <w:trPr>
          <w:trHeight w:val="247"/>
        </w:trPr>
        <w:tc>
          <w:tcPr>
            <w:tcW w:w="9780" w:type="dxa"/>
            <w:vAlign w:val="bottom"/>
          </w:tcPr>
          <w:p>
            <w:pPr>
              <w:ind w:left="40"/>
              <w:spacing w:after="0"/>
              <w:rPr>
                <w:sz w:val="20"/>
                <w:szCs w:val="20"/>
                <w:color w:val="auto"/>
              </w:rPr>
            </w:pPr>
            <w:r>
              <w:rPr>
                <w:rFonts w:ascii="Arial" w:cs="Arial" w:eastAsia="Arial" w:hAnsi="Arial"/>
                <w:sz w:val="16"/>
                <w:szCs w:val="16"/>
                <w:color w:val="auto"/>
              </w:rPr>
              <w:t>Balance as of June 30, 2019</w:t>
            </w:r>
          </w:p>
        </w:tc>
        <w:tc>
          <w:tcPr>
            <w:tcW w:w="4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63,182</w:t>
            </w:r>
          </w:p>
        </w:tc>
      </w:tr>
      <w:tr>
        <w:trPr>
          <w:trHeight w:val="28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noncontrolling interest (1)</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3,995</w:t>
            </w:r>
          </w:p>
        </w:tc>
      </w:tr>
      <w:tr>
        <w:trPr>
          <w:trHeight w:val="260"/>
        </w:trPr>
        <w:tc>
          <w:tcPr>
            <w:tcW w:w="9780" w:type="dxa"/>
            <w:vAlign w:val="bottom"/>
          </w:tcPr>
          <w:p>
            <w:pPr>
              <w:ind w:left="40"/>
              <w:spacing w:after="0"/>
              <w:rPr>
                <w:sz w:val="20"/>
                <w:szCs w:val="20"/>
                <w:color w:val="auto"/>
              </w:rPr>
            </w:pPr>
            <w:r>
              <w:rPr>
                <w:rFonts w:ascii="Arial" w:cs="Arial" w:eastAsia="Arial" w:hAnsi="Arial"/>
                <w:sz w:val="16"/>
                <w:szCs w:val="16"/>
                <w:color w:val="auto"/>
              </w:rPr>
              <w:t>Accretion to redemption value recognized in retained earnings (2)</w:t>
            </w:r>
          </w:p>
        </w:tc>
        <w:tc>
          <w:tcPr>
            <w:tcW w:w="4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5,493</w:t>
            </w:r>
          </w:p>
        </w:tc>
      </w:tr>
      <w:tr>
        <w:trPr>
          <w:trHeight w:val="280"/>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r>
      <w:tr>
        <w:trPr>
          <w:trHeight w:val="260"/>
        </w:trPr>
        <w:tc>
          <w:tcPr>
            <w:tcW w:w="9780" w:type="dxa"/>
            <w:vAlign w:val="bottom"/>
          </w:tcPr>
          <w:p>
            <w:pPr>
              <w:ind w:left="40"/>
              <w:spacing w:after="0"/>
              <w:rPr>
                <w:sz w:val="20"/>
                <w:szCs w:val="20"/>
                <w:color w:val="auto"/>
              </w:rPr>
            </w:pPr>
            <w:r>
              <w:rPr>
                <w:rFonts w:ascii="Arial" w:cs="Arial" w:eastAsia="Arial" w:hAnsi="Arial"/>
                <w:sz w:val="16"/>
                <w:szCs w:val="16"/>
                <w:color w:val="auto"/>
              </w:rPr>
              <w:t>Distribution to noncontrolling interest</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(3,955)</w:t>
            </w:r>
          </w:p>
        </w:tc>
      </w:tr>
      <w:tr>
        <w:trPr>
          <w:trHeight w:val="273"/>
        </w:trPr>
        <w:tc>
          <w:tcPr>
            <w:tcW w:w="9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40"/>
        </w:trPr>
        <w:tc>
          <w:tcPr>
            <w:tcW w:w="9780" w:type="dxa"/>
            <w:vAlign w:val="bottom"/>
          </w:tcPr>
          <w:p>
            <w:pPr>
              <w:ind w:left="40"/>
              <w:spacing w:after="0"/>
              <w:rPr>
                <w:sz w:val="20"/>
                <w:szCs w:val="20"/>
                <w:color w:val="auto"/>
              </w:rPr>
            </w:pPr>
            <w:r>
              <w:rPr>
                <w:rFonts w:ascii="Arial" w:cs="Arial" w:eastAsia="Arial" w:hAnsi="Arial"/>
                <w:sz w:val="16"/>
                <w:szCs w:val="16"/>
                <w:color w:val="auto"/>
              </w:rPr>
              <w:t>Balance as of June 30, 2020</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69,106</w:t>
            </w:r>
          </w:p>
        </w:tc>
      </w:tr>
      <w:tr>
        <w:trPr>
          <w:trHeight w:val="20"/>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left="220" w:hanging="212"/>
        <w:spacing w:after="0"/>
        <w:tabs>
          <w:tab w:leader="none" w:pos="2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During the first quarter of fiscal 2020, we acquired majority equity interests related to two immaterial businesses within our PrintBrothers reportable segment.</w:t>
      </w:r>
    </w:p>
    <w:p>
      <w:pPr>
        <w:spacing w:after="0" w:line="55" w:lineRule="exact"/>
        <w:rPr>
          <w:rFonts w:ascii="Arial" w:cs="Arial" w:eastAsia="Arial" w:hAnsi="Arial"/>
          <w:sz w:val="14"/>
          <w:szCs w:val="14"/>
          <w:color w:val="auto"/>
        </w:rPr>
      </w:pPr>
    </w:p>
    <w:p>
      <w:pPr>
        <w:ind w:left="260" w:right="300" w:hanging="252"/>
        <w:spacing w:after="0" w:line="258" w:lineRule="auto"/>
        <w:tabs>
          <w:tab w:leader="none" w:pos="233" w:val="left"/>
        </w:tabs>
        <w:numPr>
          <w:ilvl w:val="0"/>
          <w:numId w:val="67"/>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the redemption amount estimated to be greater than carrying value but less than fair value. Refer above for additional details.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Entity ("VIE")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Printi LLC</w:t>
      </w:r>
    </w:p>
    <w:p>
      <w:pPr>
        <w:spacing w:after="0" w:line="216"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As of June 30, 2020, we have a 96.3% equity interest in Printi LLC, which owns an operating company in Brazil, and the shareholders of Printi share profits and voting control on a pro-rata basis. During the fourth quarter of fiscal 2020, we entered into an agreement to purchase an additional 42.6% economic interest in Printi. In exchange for acquiring the additional equity interest, we did not make any additional outlays of cash; rather we forgave loans provided to two previous Printi equity holders, which previously represented prepayments for our purchase of their equity interests. Prior to purchasing the additional equity interest, the carrying value of the related loans were zero as we fully reserved for the loan receivable in fiscal year 2019 when we determined the collateral was estimated to have no value.</w:t>
      </w:r>
    </w:p>
    <w:p>
      <w:pPr>
        <w:spacing w:after="0" w:line="16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For the remaining minority equity interest, we previously agreed to acquire the remaining shares in Printi through a reciprocal put and call structure, contractually exercisable from April 1, 2021 through a mandatory redemption date of July 31, 2023. This contractual obligation is presented as a liability on our consolidated balance sheet and we adjust the liability to its estimated redemption value each reporting period and recognize any changes within interest expense, net in our consolidated statement of operations. As of June 30, 2020 and 2019, the carrying value of this liability is zero, based on its estimated redemption value.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0" w:lineRule="exact"/>
        <w:rPr>
          <w:sz w:val="20"/>
          <w:szCs w:val="20"/>
          <w:color w:val="auto"/>
        </w:rPr>
      </w:pPr>
    </w:p>
    <w:p>
      <w:pPr>
        <w:jc w:val="both"/>
        <w:ind w:right="200" w:firstLine="648"/>
        <w:spacing w:after="0" w:line="256"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364" w:lineRule="exact"/>
        <w:rPr>
          <w:sz w:val="20"/>
          <w:szCs w:val="20"/>
          <w:color w:val="auto"/>
        </w:rPr>
      </w:pPr>
    </w:p>
    <w:p>
      <w:pPr>
        <w:ind w:right="460" w:firstLine="648"/>
        <w:spacing w:after="0" w:line="253" w:lineRule="auto"/>
        <w:rPr>
          <w:sz w:val="20"/>
          <w:szCs w:val="20"/>
          <w:color w:val="auto"/>
        </w:rPr>
      </w:pPr>
      <w:r>
        <w:rPr>
          <w:rFonts w:ascii="Arial" w:cs="Arial" w:eastAsia="Arial" w:hAnsi="Arial"/>
          <w:sz w:val="18"/>
          <w:szCs w:val="18"/>
          <w:color w:val="auto"/>
        </w:rPr>
        <w:t>During the first quarter of fiscal 2020, we revised our internal organizational and reporting structure leading to changes in our Vistaprint and All Other Businesses reportable segments. Our Vistaprint Corporate Solutions, Vistaprint India, and Vistaprint Japan businesses, which were previously aggregated based on materiality in our All Other Businesses, are now directly managed within the Vistaprint business. These businesses are close derivatives or adjacencies of the Vistaprint business and leverage the Vistaprint brand, customers, technology, and/or other</w:t>
      </w:r>
    </w:p>
    <w:p>
      <w:pPr>
        <w:sectPr>
          <w:pgSz w:w="11900" w:h="16838" w:orient="portrait"/>
          <w:cols w:equalWidth="0" w:num="1">
            <w:col w:w="11240"/>
          </w:cols>
          <w:pgMar w:left="320" w:top="355"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355" w:right="339" w:bottom="1440" w:gutter="0" w:footer="0" w:header="0"/>
          <w:type w:val="continuous"/>
        </w:sectPr>
      </w:pPr>
    </w:p>
    <w:bookmarkStart w:id="105" w:name="page106"/>
    <w:bookmarkEnd w:id="105"/>
    <w:p>
      <w:pPr>
        <w:spacing w:after="0" w:line="252" w:lineRule="auto"/>
        <w:rPr>
          <w:sz w:val="20"/>
          <w:szCs w:val="20"/>
          <w:color w:val="auto"/>
        </w:rPr>
      </w:pPr>
      <w:r>
        <w:rPr>
          <w:rFonts w:ascii="Arial" w:cs="Arial" w:eastAsia="Arial" w:hAnsi="Arial"/>
          <w:sz w:val="18"/>
          <w:szCs w:val="18"/>
          <w:color w:val="auto"/>
        </w:rPr>
        <w:t>assets. This change in reporting structure positions them closer to the Vistaprint operations, capabilities, and resources. Additionally, during the fourth quarter of fiscal 2020, we reorganized technology teams that previously existed within our Vistaprint business and our central teams. The reorganization resulted in some team member reductions in both organizations, and the net transfer of 177 team members from Vistaprint to our central Cimpress technology team. This change is intended to free up resources to make more Vistaprint technologies available to other Cimpress businesses in the future, to accelerate Vistaprint's re-platforming efforts, and to reduce costs where no longer necessary. We have revised our presentation of all prior periods presented to reflect our revised segment reporting for the two changes made during fiscal 2020.</w:t>
      </w:r>
    </w:p>
    <w:p>
      <w:pPr>
        <w:spacing w:after="0" w:line="342"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As of June 30, 2020, we have numerous operating segments under our management reporting structure which are reported in the following five reportable segments:</w:t>
      </w:r>
    </w:p>
    <w:p>
      <w:pPr>
        <w:spacing w:after="0" w:line="153" w:lineRule="exact"/>
        <w:rPr>
          <w:sz w:val="20"/>
          <w:szCs w:val="20"/>
          <w:color w:val="auto"/>
        </w:rPr>
      </w:pPr>
    </w:p>
    <w:p>
      <w:pPr>
        <w:ind w:left="660" w:right="380" w:hanging="328"/>
        <w:spacing w:after="0" w:line="266"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Vistaprint - </w:t>
      </w:r>
      <w:r>
        <w:rPr>
          <w:rFonts w:ascii="Arial" w:cs="Arial" w:eastAsia="Arial" w:hAnsi="Arial"/>
          <w:sz w:val="18"/>
          <w:szCs w:val="18"/>
          <w:color w:val="auto"/>
        </w:rPr>
        <w:t>Includes the operations of our global Vistaprint websites and our Webs-branded business, which is managed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Vistaprint-branded digital business. Also included is our Vistaprint Corporate Solutions business which serves medium-sized businesses and large corporations, as well as a legacy revenue stream with retail partners and franchise businesses</w:t>
      </w:r>
    </w:p>
    <w:p>
      <w:pPr>
        <w:spacing w:after="0" w:line="148"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PrintBrothers </w:t>
      </w:r>
      <w:r>
        <w:rPr>
          <w:rFonts w:ascii="Arial" w:cs="Arial" w:eastAsia="Arial" w:hAnsi="Arial"/>
          <w:sz w:val="18"/>
          <w:szCs w:val="18"/>
          <w:color w:val="auto"/>
        </w:rPr>
        <w:t>- Includes the results of our druck.at, Printdeal, and WIRmachenDRUCK businesses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The Print Group </w:t>
      </w:r>
      <w:r>
        <w:rPr>
          <w:rFonts w:ascii="Arial" w:cs="Arial" w:eastAsia="Arial" w:hAnsi="Arial"/>
          <w:sz w:val="18"/>
          <w:szCs w:val="18"/>
          <w:color w:val="auto"/>
        </w:rPr>
        <w:t>- Includes the results of our Easyflyer, Exaprint, Pixartprinting, and Tradeprint businesses</w:t>
      </w:r>
    </w:p>
    <w:p>
      <w:pPr>
        <w:spacing w:after="0" w:line="198" w:lineRule="exact"/>
        <w:rPr>
          <w:rFonts w:ascii="Arial" w:cs="Arial" w:eastAsia="Arial" w:hAnsi="Arial"/>
          <w:sz w:val="18"/>
          <w:szCs w:val="18"/>
          <w:color w:val="auto"/>
        </w:rPr>
      </w:pPr>
    </w:p>
    <w:p>
      <w:pPr>
        <w:ind w:left="660" w:right="720" w:hanging="328"/>
        <w:spacing w:after="0" w:line="282"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 which manufactures and markets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w:t>
      </w:r>
      <w:r>
        <w:rPr>
          <w:rFonts w:ascii="Arial" w:cs="Arial" w:eastAsia="Arial" w:hAnsi="Arial"/>
          <w:sz w:val="18"/>
          <w:szCs w:val="18"/>
          <w:color w:val="auto"/>
        </w:rPr>
        <w:t>- Includes a collection of businesses grouped together based on materiality:</w:t>
      </w:r>
    </w:p>
    <w:p>
      <w:pPr>
        <w:spacing w:after="0" w:line="135" w:lineRule="exact"/>
        <w:rPr>
          <w:rFonts w:ascii="Arial" w:cs="Arial" w:eastAsia="Arial" w:hAnsi="Arial"/>
          <w:sz w:val="18"/>
          <w:szCs w:val="18"/>
          <w:i w:val="1"/>
          <w:iCs w:val="1"/>
          <w:color w:val="auto"/>
        </w:rPr>
      </w:pPr>
    </w:p>
    <w:p>
      <w:pPr>
        <w:ind w:left="1300" w:right="720" w:hanging="320"/>
        <w:spacing w:after="0" w:line="26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BuildASign is an internet-based provider of canvas-print wall décor, business signage and other large-format printed products, based in Austin, Texas.</w:t>
      </w:r>
    </w:p>
    <w:p>
      <w:pPr>
        <w:spacing w:after="0" w:line="35" w:lineRule="exact"/>
        <w:rPr>
          <w:rFonts w:ascii="Arial" w:cs="Arial" w:eastAsia="Arial" w:hAnsi="Arial"/>
          <w:sz w:val="18"/>
          <w:szCs w:val="18"/>
          <w:color w:val="auto"/>
        </w:rPr>
      </w:pPr>
    </w:p>
    <w:p>
      <w:pPr>
        <w:ind w:left="1300" w:right="600" w:hanging="320"/>
        <w:spacing w:after="0" w:line="26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Printi is an online printing leader in Brazil, which offers a superior customer experience with transparent and attractive pricing, reliable service and quality.</w:t>
      </w:r>
    </w:p>
    <w:p>
      <w:pPr>
        <w:spacing w:after="0" w:line="35" w:lineRule="exact"/>
        <w:rPr>
          <w:rFonts w:ascii="Arial" w:cs="Arial" w:eastAsia="Arial" w:hAnsi="Arial"/>
          <w:sz w:val="18"/>
          <w:szCs w:val="18"/>
          <w:color w:val="auto"/>
        </w:rPr>
      </w:pPr>
    </w:p>
    <w:p>
      <w:pPr>
        <w:ind w:left="1300" w:hanging="320"/>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VIDA was part All Other Businesses segment through April 10, 2020, the date on which we sold our shares in the business.</w:t>
      </w:r>
    </w:p>
    <w:p>
      <w:pPr>
        <w:spacing w:after="0" w:line="63" w:lineRule="exact"/>
        <w:rPr>
          <w:rFonts w:ascii="Arial" w:cs="Arial" w:eastAsia="Arial" w:hAnsi="Arial"/>
          <w:sz w:val="18"/>
          <w:szCs w:val="18"/>
          <w:color w:val="auto"/>
        </w:rPr>
      </w:pPr>
    </w:p>
    <w:p>
      <w:pPr>
        <w:ind w:left="1300" w:right="60" w:hanging="320"/>
        <w:spacing w:after="0" w:line="256"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YSD is a startup operation that provides end-to-end mass customization solutions to brands and intellectual property owners in China, supporting multiple channels including retail stores, websites, WeChat and e-commerce platforms to enhance brand awareness and competitiveness and develop new markets.</w:t>
      </w:r>
    </w:p>
    <w:p>
      <w:pPr>
        <w:spacing w:after="0" w:line="175" w:lineRule="exact"/>
        <w:rPr>
          <w:sz w:val="20"/>
          <w:szCs w:val="20"/>
          <w:color w:val="auto"/>
        </w:rPr>
      </w:pPr>
    </w:p>
    <w:p>
      <w:pPr>
        <w:jc w:val="both"/>
        <w:ind w:right="320" w:firstLine="648"/>
        <w:spacing w:after="0" w:line="253"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7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first quarter of fiscal 2020, we changed our segment profitability measure to an adjusted EBITDA metric. The financial metric that we use to hold our businesses accountable on an annual basis is unlevered free cash flow. Historically, we have reported segment profit based on adjusted net operating profit; however, this is not a direct input to unlevered free cash flow. We believe this change simplifies both our internal and external reporting, while also increasing the focus on a profitability metric that is a direct input into our internal operating measure, our steady-state free cash flow analysis that we report annually and our estimates of intrinsic value per share.</w:t>
      </w:r>
    </w:p>
    <w:p>
      <w:pPr>
        <w:spacing w:after="0" w:line="17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primary difference between the segment profit we previously reported and the revised metric is depreciation and amortization. The prior adjusted NOP-based metric only removed amortization of acquired intangibles, and the new segment EBITDA metric removes all depreciation and amortization, except for depreciation expense related to our Waltham, Massachusetts lease, which we treat in our historical results as operating expense. The new segment EBITDA metric does include the cost of long-term incentive programs, including share-based compensation, just as the prior adjusted NOP-based metric.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544" w:right="339" w:bottom="1440" w:gutter="0" w:footer="0" w:header="0"/>
        </w:sectPr>
      </w:pPr>
    </w:p>
    <w:bookmarkStart w:id="106" w:name="page107"/>
    <w:bookmarkEnd w:id="106"/>
    <w:p>
      <w:pPr>
        <w:ind w:right="20" w:firstLine="648"/>
        <w:spacing w:after="0" w:line="253" w:lineRule="auto"/>
        <w:rPr>
          <w:sz w:val="20"/>
          <w:szCs w:val="20"/>
          <w:color w:val="auto"/>
        </w:rPr>
      </w:pPr>
      <w:r>
        <w:rPr>
          <w:rFonts w:ascii="Arial" w:cs="Arial" w:eastAsia="Arial" w:hAnsi="Arial"/>
          <w:sz w:val="18"/>
          <w:szCs w:val="18"/>
          <w:color w:val="auto"/>
        </w:rPr>
        <w:t>For awards granted under our 2016 Performance Equity Plan, the PSU expense value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 All expense or benefit associated with our supplemental PSUs is recognized within central and corporate costs.</w:t>
      </w:r>
    </w:p>
    <w:p>
      <w:pPr>
        <w:spacing w:after="0" w:line="178"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definition of segment EBITDA is GAAP operating income excluding certain items, such as depreciation and amortization (with the exception of depreciation expense associated with our Waltham, Massachusetts lease for periods prior to our adoption of the new leasing standard on July 1, 2019),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For historical periods presented, a portion of the interest expense associated with our Waltham, Massachusetts lease is included as expense in segment EBITDA and allocated based on headcount to the appropriate business or corporate and global function. The interest expense represents a portion of the cash rent payment and is considered an operating expense for purposes of measuring our segment performance. Beginning in fiscal 2020, as part of our adoption of the new leasing standard, the accounting treatment for our Waltham, Massachusetts lease has changed to an operating lease, so the expense associated with this lease is reflected in operating income and no longer requires an adjustment to segment EBITDA. We do not allocate non-operating income, including realized gains and losses on currency hedges, to our segment results.</w:t>
      </w:r>
    </w:p>
    <w:p>
      <w:pPr>
        <w:spacing w:after="0" w:line="184" w:lineRule="exact"/>
        <w:rPr>
          <w:sz w:val="20"/>
          <w:szCs w:val="20"/>
          <w:color w:val="auto"/>
        </w:rPr>
      </w:pPr>
    </w:p>
    <w:p>
      <w:pPr>
        <w:ind w:right="600" w:firstLine="648"/>
        <w:spacing w:after="0" w:line="256" w:lineRule="auto"/>
        <w:rPr>
          <w:sz w:val="20"/>
          <w:szCs w:val="20"/>
          <w:color w:val="auto"/>
        </w:rPr>
      </w:pPr>
      <w:r>
        <w:rPr>
          <w:rFonts w:ascii="Arial" w:cs="Arial" w:eastAsia="Arial" w:hAnsi="Arial"/>
          <w:sz w:val="18"/>
          <w:szCs w:val="18"/>
          <w:color w:val="auto"/>
        </w:rPr>
        <w:t>Our All Other Businesses reportable segment includes businesses that have operating losses as they are in the early stage of investment relative to the scale of the underlying businesses, which may limit its comparability to other segments regarding segment EBITDA.</w:t>
      </w:r>
    </w:p>
    <w:p>
      <w:pPr>
        <w:spacing w:after="0" w:line="175" w:lineRule="exact"/>
        <w:rPr>
          <w:sz w:val="20"/>
          <w:szCs w:val="20"/>
          <w:color w:val="auto"/>
        </w:rPr>
      </w:pPr>
    </w:p>
    <w:p>
      <w:pPr>
        <w:ind w:right="80" w:firstLine="661"/>
        <w:spacing w:after="0" w:line="256"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75" w:lineRule="exact"/>
        <w:rPr>
          <w:sz w:val="20"/>
          <w:szCs w:val="20"/>
          <w:color w:val="auto"/>
        </w:rPr>
      </w:pPr>
    </w:p>
    <w:p>
      <w:pPr>
        <w:ind w:right="200" w:firstLine="661"/>
        <w:spacing w:after="0" w:line="256" w:lineRule="auto"/>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520" w:type="dxa"/>
            <w:vAlign w:val="bottom"/>
          </w:tcPr>
          <w:p>
            <w:pPr>
              <w:ind w:left="380"/>
              <w:spacing w:after="0"/>
              <w:rPr>
                <w:sz w:val="20"/>
                <w:szCs w:val="20"/>
                <w:color w:val="auto"/>
              </w:rPr>
            </w:pPr>
            <w:r>
              <w:rPr>
                <w:rFonts w:ascii="Arial" w:cs="Arial" w:eastAsia="Arial" w:hAnsi="Arial"/>
                <w:sz w:val="16"/>
                <w:szCs w:val="16"/>
                <w:color w:val="auto"/>
              </w:rPr>
              <w:t>Vistaprint (1)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1,337,291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1,508,322</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1,499,141</w:t>
            </w:r>
          </w:p>
        </w:tc>
        <w:tc>
          <w:tcPr>
            <w:tcW w:w="0" w:type="dxa"/>
            <w:vAlign w:val="bottom"/>
          </w:tcPr>
          <w:p>
            <w:pPr>
              <w:spacing w:after="0"/>
              <w:rPr>
                <w:sz w:val="1"/>
                <w:szCs w:val="1"/>
                <w:color w:val="auto"/>
              </w:rPr>
            </w:pPr>
          </w:p>
        </w:tc>
      </w:tr>
      <w:tr>
        <w:trPr>
          <w:trHeight w:val="280"/>
        </w:trPr>
        <w:tc>
          <w:tcPr>
            <w:tcW w:w="6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 (2)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417,921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443,987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410,776</w:t>
            </w:r>
          </w:p>
        </w:tc>
        <w:tc>
          <w:tcPr>
            <w:tcW w:w="0" w:type="dxa"/>
            <w:vAlign w:val="bottom"/>
          </w:tcPr>
          <w:p>
            <w:pPr>
              <w:spacing w:after="0"/>
              <w:rPr>
                <w:sz w:val="1"/>
                <w:szCs w:val="1"/>
                <w:color w:val="auto"/>
              </w:rPr>
            </w:pPr>
          </w:p>
        </w:tc>
      </w:tr>
      <w:tr>
        <w:trPr>
          <w:trHeight w:val="260"/>
        </w:trPr>
        <w:tc>
          <w:tcPr>
            <w:tcW w:w="6520" w:type="dxa"/>
            <w:vAlign w:val="bottom"/>
          </w:tcPr>
          <w:p>
            <w:pPr>
              <w:ind w:left="380"/>
              <w:spacing w:after="0"/>
              <w:rPr>
                <w:sz w:val="20"/>
                <w:szCs w:val="20"/>
                <w:color w:val="auto"/>
              </w:rPr>
            </w:pPr>
            <w:r>
              <w:rPr>
                <w:rFonts w:ascii="Arial" w:cs="Arial" w:eastAsia="Arial" w:hAnsi="Arial"/>
                <w:sz w:val="16"/>
                <w:szCs w:val="16"/>
                <w:color w:val="auto"/>
              </w:rPr>
              <w:t>The Print Group (3)</w:t>
            </w: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275,214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325,872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320,473</w:t>
            </w:r>
          </w:p>
        </w:tc>
        <w:tc>
          <w:tcPr>
            <w:tcW w:w="0" w:type="dxa"/>
            <w:vAlign w:val="bottom"/>
          </w:tcPr>
          <w:p>
            <w:pPr>
              <w:spacing w:after="0"/>
              <w:rPr>
                <w:sz w:val="1"/>
                <w:szCs w:val="1"/>
                <w:color w:val="auto"/>
              </w:rPr>
            </w:pPr>
          </w:p>
        </w:tc>
      </w:tr>
      <w:tr>
        <w:trPr>
          <w:trHeight w:val="280"/>
        </w:trPr>
        <w:tc>
          <w:tcPr>
            <w:tcW w:w="6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 (4)</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299,474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348,409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333,266</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All Other Businesses (5)</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173,789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136,202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40,230</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segment revenue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2,503,689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2,762,792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2,603,886</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Inter-segment eliminations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(11,345)</w:t>
            </w:r>
          </w:p>
        </w:tc>
        <w:tc>
          <w:tcPr>
            <w:tcW w:w="0" w:type="dxa"/>
            <w:vAlign w:val="bottom"/>
          </w:tcPr>
          <w:p>
            <w:pPr>
              <w:spacing w:after="0"/>
              <w:rPr>
                <w:sz w:val="1"/>
                <w:szCs w:val="1"/>
                <w:color w:val="auto"/>
              </w:rPr>
            </w:pPr>
          </w:p>
        </w:tc>
      </w:tr>
      <w:tr>
        <w:trPr>
          <w:trHeight w:val="240"/>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consolidated revenue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2,481,358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2,751,076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2,592,541</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5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Vistaprint segment revenues include inter-segment revenue of $6,180, $5,851 and $5,631 for the years ended June 30, 2020, 2019 and 2018,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PrintBrothers segment revenues include inter-segment revenue of $934</w:t>
      </w:r>
      <w:r>
        <w:rPr>
          <w:rFonts w:ascii="Arial" w:cs="Arial" w:eastAsia="Arial" w:hAnsi="Arial"/>
          <w:sz w:val="14"/>
          <w:szCs w:val="14"/>
          <w:i w:val="1"/>
          <w:iCs w:val="1"/>
          <w:color w:val="auto"/>
        </w:rPr>
        <w:t>,</w:t>
      </w:r>
      <w:r>
        <w:rPr>
          <w:rFonts w:ascii="Arial" w:cs="Arial" w:eastAsia="Arial" w:hAnsi="Arial"/>
          <w:sz w:val="14"/>
          <w:szCs w:val="14"/>
          <w:color w:val="auto"/>
        </w:rPr>
        <w:t xml:space="preserve"> $1,227 and $2,068 for the years ended June 30, 2020, 2019 and 2018,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Print Group segment revenues include inter-segment revenue of $5,994, $796 and $690 for the years ended June 30, 2020, 2019 and 2018, respectively.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National Pen segment revenues include inter-segment revenue of $7,806, $3,729 and $2,956 for the years ended June 30, 2020, 2019 and 2018, respectively.</w:t>
      </w:r>
    </w:p>
    <w:p>
      <w:pPr>
        <w:spacing w:after="0" w:line="1" w:lineRule="exact"/>
        <w:rPr>
          <w:rFonts w:ascii="Arial" w:cs="Arial" w:eastAsia="Arial" w:hAnsi="Arial"/>
          <w:sz w:val="14"/>
          <w:szCs w:val="14"/>
          <w:color w:val="auto"/>
        </w:rPr>
      </w:pPr>
    </w:p>
    <w:p>
      <w:pPr>
        <w:ind w:left="260" w:right="180" w:hanging="252"/>
        <w:spacing w:after="0" w:line="249" w:lineRule="auto"/>
        <w:tabs>
          <w:tab w:leader="none" w:pos="233" w:val="left"/>
        </w:tabs>
        <w:numPr>
          <w:ilvl w:val="0"/>
          <w:numId w:val="69"/>
        </w:numPr>
        <w:rPr>
          <w:rFonts w:ascii="Arial" w:cs="Arial" w:eastAsia="Arial" w:hAnsi="Arial"/>
          <w:sz w:val="14"/>
          <w:szCs w:val="14"/>
          <w:color w:val="auto"/>
        </w:rPr>
      </w:pPr>
      <w:r>
        <w:rPr>
          <w:rFonts w:ascii="Arial" w:cs="Arial" w:eastAsia="Arial" w:hAnsi="Arial"/>
          <w:sz w:val="14"/>
          <w:szCs w:val="14"/>
          <w:color w:val="auto"/>
        </w:rPr>
        <w:t>All Other Businesses segment revenues include inter-segment revenue of $1,417 and $113 for the years ended June 30, 2020 and 2019, respectively. There was no inter-segment revenue for the year ended June 30, 2018. Our All Other Businesses segment includes the revenue from our BuildASign acquisition from October 1, 2018, and revenue from our Vida acquisition from July 2, 2018 through the divestiture date of April 10,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54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7"/>
        </w:trPr>
        <w:tc>
          <w:tcPr>
            <w:tcW w:w="2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3"/>
                <w:szCs w:val="13"/>
                <w:b w:val="1"/>
                <w:bCs w:val="1"/>
                <w:color w:val="auto"/>
                <w:w w:val="96"/>
              </w:rPr>
              <w:t>Year Ended June 30, 2020</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13"/>
        </w:trPr>
        <w:tc>
          <w:tcPr>
            <w:tcW w:w="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Vistaprint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7"/>
              </w:rPr>
              <w:t>PrintBrothers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3"/>
                <w:szCs w:val="13"/>
                <w:b w:val="1"/>
                <w:bCs w:val="1"/>
                <w:color w:val="auto"/>
              </w:rPr>
              <w:t>The Print Group</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ind w:left="4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3"/>
                <w:szCs w:val="13"/>
                <w:b w:val="1"/>
                <w:bCs w:val="1"/>
                <w:color w:val="auto"/>
              </w:rPr>
              <w:t>All Other</w:t>
            </w:r>
          </w:p>
        </w:tc>
        <w:tc>
          <w:tcPr>
            <w:tcW w:w="200" w:type="dxa"/>
            <w:vAlign w:val="bottom"/>
          </w:tcPr>
          <w:p>
            <w:pPr>
              <w:spacing w:after="0"/>
              <w:rPr>
                <w:sz w:val="18"/>
                <w:szCs w:val="18"/>
                <w:color w:val="auto"/>
              </w:rPr>
            </w:pPr>
          </w:p>
        </w:tc>
        <w:tc>
          <w:tcPr>
            <w:tcW w:w="900" w:type="dxa"/>
            <w:vAlign w:val="bottom"/>
          </w:tcPr>
          <w:p>
            <w:pPr>
              <w:jc w:val="right"/>
              <w:ind w:right="321"/>
              <w:spacing w:after="0"/>
              <w:rPr>
                <w:sz w:val="20"/>
                <w:szCs w:val="20"/>
                <w:color w:val="auto"/>
              </w:rPr>
            </w:pPr>
            <w:r>
              <w:rPr>
                <w:rFonts w:ascii="Arial" w:cs="Arial" w:eastAsia="Arial" w:hAnsi="Arial"/>
                <w:sz w:val="13"/>
                <w:szCs w:val="13"/>
                <w:b w:val="1"/>
                <w:bCs w:val="1"/>
                <w:color w:val="auto"/>
              </w:rPr>
              <w:t>Total</w:t>
            </w:r>
          </w:p>
        </w:tc>
      </w:tr>
      <w:tr>
        <w:trPr>
          <w:trHeight w:val="57"/>
        </w:trPr>
        <w:tc>
          <w:tcPr>
            <w:tcW w:w="260" w:type="dxa"/>
            <w:vAlign w:val="bottom"/>
          </w:tcPr>
          <w:p>
            <w:pPr>
              <w:spacing w:after="0"/>
              <w:rPr>
                <w:sz w:val="4"/>
                <w:szCs w:val="4"/>
                <w:color w:val="auto"/>
              </w:rPr>
            </w:pPr>
          </w:p>
        </w:tc>
        <w:tc>
          <w:tcPr>
            <w:tcW w:w="3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63"/>
        </w:trPr>
        <w:tc>
          <w:tcPr>
            <w:tcW w:w="260" w:type="dxa"/>
            <w:vAlign w:val="bottom"/>
          </w:tcPr>
          <w:p>
            <w:pPr>
              <w:spacing w:after="0"/>
              <w:rPr>
                <w:sz w:val="22"/>
                <w:szCs w:val="22"/>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2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928,668</w:t>
            </w:r>
          </w:p>
        </w:tc>
        <w:tc>
          <w:tcPr>
            <w:tcW w:w="6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154,632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153,795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1,237,095</w:t>
            </w:r>
          </w:p>
        </w:tc>
      </w:tr>
      <w:tr>
        <w:trPr>
          <w:trHeight w:val="280"/>
        </w:trPr>
        <w:tc>
          <w:tcPr>
            <w:tcW w:w="260" w:type="dxa"/>
            <w:vAlign w:val="bottom"/>
          </w:tcPr>
          <w:p>
            <w:pPr>
              <w:spacing w:after="0"/>
              <w:rPr>
                <w:sz w:val="24"/>
                <w:szCs w:val="24"/>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325,239</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416,987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269,220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112,046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1,123,492</w:t>
            </w:r>
          </w:p>
        </w:tc>
      </w:tr>
      <w:tr>
        <w:trPr>
          <w:trHeight w:val="260"/>
        </w:trPr>
        <w:tc>
          <w:tcPr>
            <w:tcW w:w="26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77,204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24,990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18,577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120,771</w:t>
            </w:r>
          </w:p>
        </w:tc>
      </w:tr>
      <w:tr>
        <w:trPr>
          <w:trHeight w:val="273"/>
        </w:trPr>
        <w:tc>
          <w:tcPr>
            <w:tcW w:w="260" w:type="dxa"/>
            <w:vAlign w:val="bottom"/>
          </w:tcPr>
          <w:p>
            <w:pPr>
              <w:spacing w:after="0"/>
              <w:rPr>
                <w:sz w:val="23"/>
                <w:szCs w:val="23"/>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5,994</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7,806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1,417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22,331</w:t>
            </w:r>
          </w:p>
        </w:tc>
      </w:tr>
      <w:tr>
        <w:trPr>
          <w:trHeight w:val="250"/>
        </w:trPr>
        <w:tc>
          <w:tcPr>
            <w:tcW w:w="260" w:type="dxa"/>
            <w:vAlign w:val="bottom"/>
          </w:tcPr>
          <w:p>
            <w:pPr>
              <w:spacing w:after="0"/>
              <w:rPr>
                <w:sz w:val="21"/>
                <w:szCs w:val="21"/>
                <w:color w:val="auto"/>
              </w:rPr>
            </w:pPr>
          </w:p>
        </w:tc>
        <w:tc>
          <w:tcPr>
            <w:tcW w:w="38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segment revenue</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1,337,291</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417,921</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275,214</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299,474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173,789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2,503,689</w:t>
            </w:r>
          </w:p>
        </w:tc>
      </w:tr>
      <w:tr>
        <w:trPr>
          <w:trHeight w:val="250"/>
        </w:trPr>
        <w:tc>
          <w:tcPr>
            <w:tcW w:w="260" w:type="dxa"/>
            <w:vAlign w:val="bottom"/>
          </w:tcPr>
          <w:p>
            <w:pPr>
              <w:spacing w:after="0"/>
              <w:rPr>
                <w:sz w:val="21"/>
                <w:szCs w:val="21"/>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(6,180)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(22,331)</w:t>
            </w:r>
          </w:p>
        </w:tc>
      </w:tr>
      <w:tr>
        <w:trPr>
          <w:trHeight w:val="240"/>
        </w:trPr>
        <w:tc>
          <w:tcPr>
            <w:tcW w:w="26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$ 1,331,111</w:t>
            </w:r>
          </w:p>
        </w:tc>
        <w:tc>
          <w:tcPr>
            <w:tcW w:w="60" w:type="dxa"/>
            <w:vAlign w:val="bottom"/>
            <w:tcBorders>
              <w:bottom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416,987</w:t>
            </w:r>
          </w:p>
        </w:tc>
        <w:tc>
          <w:tcPr>
            <w:tcW w:w="6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269,220</w:t>
            </w:r>
          </w:p>
        </w:tc>
        <w:tc>
          <w:tcPr>
            <w:tcW w:w="4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291,668</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172,372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2,481,358</w:t>
            </w:r>
          </w:p>
        </w:tc>
      </w:tr>
      <w:tr>
        <w:trPr>
          <w:trHeight w:val="20"/>
        </w:trPr>
        <w:tc>
          <w:tcPr>
            <w:tcW w:w="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52"/>
        </w:trPr>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ind w:left="160"/>
              <w:spacing w:after="0"/>
              <w:rPr>
                <w:sz w:val="20"/>
                <w:szCs w:val="20"/>
                <w:color w:val="auto"/>
              </w:rPr>
            </w:pPr>
            <w:r>
              <w:rPr>
                <w:rFonts w:ascii="Arial" w:cs="Arial" w:eastAsia="Arial" w:hAnsi="Arial"/>
                <w:sz w:val="13"/>
                <w:szCs w:val="13"/>
                <w:b w:val="1"/>
                <w:bCs w:val="1"/>
                <w:color w:val="auto"/>
              </w:rPr>
              <w:t>Year Ended June 30, 2019</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4"/>
        </w:trPr>
        <w:tc>
          <w:tcPr>
            <w:tcW w:w="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Vistaprint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PrintBrothers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The Print Group</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3"/>
                <w:szCs w:val="13"/>
                <w:b w:val="1"/>
                <w:bCs w:val="1"/>
                <w:color w:val="auto"/>
              </w:rPr>
              <w:t>All Other</w:t>
            </w:r>
          </w:p>
        </w:tc>
        <w:tc>
          <w:tcPr>
            <w:tcW w:w="20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56"/>
        </w:trPr>
        <w:tc>
          <w:tcPr>
            <w:tcW w:w="406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63"/>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 by Geographic Region:</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North America</w:t>
            </w:r>
          </w:p>
        </w:tc>
        <w:tc>
          <w:tcPr>
            <w:tcW w:w="1040" w:type="dxa"/>
            <w:vAlign w:val="bottom"/>
            <w:gridSpan w:val="2"/>
          </w:tcPr>
          <w:p>
            <w:pPr>
              <w:jc w:val="right"/>
              <w:ind w:right="41"/>
              <w:spacing w:after="0"/>
              <w:rPr>
                <w:sz w:val="20"/>
                <w:szCs w:val="20"/>
                <w:color w:val="auto"/>
              </w:rPr>
            </w:pPr>
            <w:r>
              <w:rPr>
                <w:rFonts w:ascii="Arial" w:cs="Arial" w:eastAsia="Arial" w:hAnsi="Arial"/>
                <w:sz w:val="16"/>
                <w:szCs w:val="16"/>
                <w:color w:val="auto"/>
              </w:rPr>
              <w:t>$ 1,040,928</w:t>
            </w:r>
          </w:p>
        </w:tc>
        <w:tc>
          <w:tcPr>
            <w:tcW w:w="60" w:type="dxa"/>
            <w:vAlign w:val="bottom"/>
          </w:tcPr>
          <w:p>
            <w:pPr>
              <w:spacing w:after="0"/>
              <w:rPr>
                <w:sz w:val="22"/>
                <w:szCs w:val="22"/>
                <w:color w:val="auto"/>
              </w:rPr>
            </w:pPr>
          </w:p>
        </w:tc>
        <w:tc>
          <w:tcPr>
            <w:tcW w:w="240" w:type="dxa"/>
            <w:vAlign w:val="bottom"/>
            <w:gridSpan w:val="3"/>
          </w:tcPr>
          <w:p>
            <w:pPr>
              <w:jc w:val="right"/>
              <w:ind w:right="1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13"/>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cente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179,425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112,216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1,332,569</w:t>
            </w:r>
          </w:p>
        </w:tc>
      </w:tr>
      <w:tr>
        <w:trPr>
          <w:trHeight w:val="28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Europe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373,768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442,760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325,076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134,381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1,275,985</w:t>
            </w:r>
          </w:p>
        </w:tc>
      </w:tr>
      <w:tr>
        <w:trPr>
          <w:trHeight w:val="260"/>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87,775</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30,874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23,873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142,522</w:t>
            </w:r>
          </w:p>
        </w:tc>
      </w:tr>
      <w:tr>
        <w:trPr>
          <w:trHeight w:val="273"/>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5,851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1,227</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796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3,729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11,716</w:t>
            </w:r>
          </w:p>
        </w:tc>
      </w:tr>
      <w:tr>
        <w:trPr>
          <w:trHeight w:val="250"/>
        </w:trPr>
        <w:tc>
          <w:tcPr>
            <w:tcW w:w="4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segment revenue</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1,508,322</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443,987</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325,872</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348,409</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136,202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2,762,792</w:t>
            </w:r>
          </w:p>
        </w:tc>
      </w:tr>
      <w:tr>
        <w:trPr>
          <w:trHeight w:val="25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inter-segment elimination</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(11,716)</w:t>
            </w:r>
          </w:p>
        </w:tc>
      </w:tr>
      <w:tr>
        <w:trPr>
          <w:trHeight w:val="240"/>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Total external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1,502,471</w:t>
            </w:r>
          </w:p>
        </w:tc>
        <w:tc>
          <w:tcPr>
            <w:tcW w:w="60" w:type="dxa"/>
            <w:vAlign w:val="bottom"/>
          </w:tcPr>
          <w:p>
            <w:pPr>
              <w:spacing w:after="0"/>
              <w:rPr>
                <w:sz w:val="20"/>
                <w:szCs w:val="20"/>
                <w:color w:val="auto"/>
              </w:rPr>
            </w:pPr>
          </w:p>
        </w:tc>
        <w:tc>
          <w:tcPr>
            <w:tcW w:w="240" w:type="dxa"/>
            <w:vAlign w:val="bottom"/>
            <w:gridSpan w:val="3"/>
          </w:tcPr>
          <w:p>
            <w:pPr>
              <w:jc w:val="right"/>
              <w:ind w:right="1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442,760</w:t>
            </w:r>
          </w:p>
        </w:tc>
        <w:tc>
          <w:tcPr>
            <w:tcW w:w="60" w:type="dxa"/>
            <w:vAlign w:val="bottom"/>
          </w:tcPr>
          <w:p>
            <w:pPr>
              <w:spacing w:after="0"/>
              <w:rPr>
                <w:sz w:val="20"/>
                <w:szCs w:val="20"/>
                <w:color w:val="auto"/>
              </w:rPr>
            </w:pPr>
          </w:p>
        </w:tc>
        <w:tc>
          <w:tcPr>
            <w:tcW w:w="360" w:type="dxa"/>
            <w:vAlign w:val="bottom"/>
            <w:gridSpan w:val="3"/>
          </w:tcPr>
          <w:p>
            <w:pPr>
              <w:jc w:val="right"/>
              <w:ind w:right="11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325,076</w:t>
            </w:r>
          </w:p>
        </w:tc>
        <w:tc>
          <w:tcPr>
            <w:tcW w:w="40" w:type="dxa"/>
            <w:vAlign w:val="bottom"/>
          </w:tcPr>
          <w:p>
            <w:pPr>
              <w:spacing w:after="0"/>
              <w:rPr>
                <w:sz w:val="20"/>
                <w:szCs w:val="20"/>
                <w:color w:val="auto"/>
              </w:rPr>
            </w:pPr>
          </w:p>
        </w:tc>
        <w:tc>
          <w:tcPr>
            <w:tcW w:w="240" w:type="dxa"/>
            <w:vAlign w:val="bottom"/>
            <w:gridSpan w:val="3"/>
          </w:tcPr>
          <w:p>
            <w:pPr>
              <w:jc w:val="cente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344,680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136,089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2,751,076</w:t>
            </w:r>
          </w:p>
        </w:tc>
      </w:tr>
      <w:tr>
        <w:trPr>
          <w:trHeight w:val="20"/>
        </w:trPr>
        <w:tc>
          <w:tcPr>
            <w:tcW w:w="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922"/>
        </w:trPr>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ind w:left="160"/>
              <w:spacing w:after="0"/>
              <w:rPr>
                <w:sz w:val="20"/>
                <w:szCs w:val="20"/>
                <w:color w:val="auto"/>
              </w:rPr>
            </w:pPr>
            <w:r>
              <w:rPr>
                <w:rFonts w:ascii="Arial" w:cs="Arial" w:eastAsia="Arial" w:hAnsi="Arial"/>
                <w:sz w:val="13"/>
                <w:szCs w:val="13"/>
                <w:b w:val="1"/>
                <w:bCs w:val="1"/>
                <w:color w:val="auto"/>
              </w:rPr>
              <w:t>Year Ended June 30, 2018</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3"/>
        </w:trPr>
        <w:tc>
          <w:tcPr>
            <w:tcW w:w="2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Vistaprint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PrintBrothers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The Print Group</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3"/>
                <w:szCs w:val="13"/>
                <w:b w:val="1"/>
                <w:bCs w:val="1"/>
                <w:color w:val="auto"/>
              </w:rPr>
              <w:t>All Other</w:t>
            </w:r>
          </w:p>
        </w:tc>
        <w:tc>
          <w:tcPr>
            <w:tcW w:w="20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57"/>
        </w:trPr>
        <w:tc>
          <w:tcPr>
            <w:tcW w:w="406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63"/>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 by Geographic Region:</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0"/>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North America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1,013,775</w:t>
            </w:r>
          </w:p>
        </w:tc>
        <w:tc>
          <w:tcPr>
            <w:tcW w:w="60" w:type="dxa"/>
            <w:vAlign w:val="bottom"/>
          </w:tcPr>
          <w:p>
            <w:pPr>
              <w:spacing w:after="0"/>
              <w:rPr>
                <w:sz w:val="22"/>
                <w:szCs w:val="22"/>
                <w:color w:val="auto"/>
              </w:rPr>
            </w:pPr>
          </w:p>
        </w:tc>
        <w:tc>
          <w:tcPr>
            <w:tcW w:w="240" w:type="dxa"/>
            <w:vAlign w:val="bottom"/>
            <w:gridSpan w:val="3"/>
          </w:tcPr>
          <w:p>
            <w:pPr>
              <w:jc w:val="right"/>
              <w:ind w:right="11"/>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11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2,136</w:t>
            </w:r>
          </w:p>
        </w:tc>
        <w:tc>
          <w:tcPr>
            <w:tcW w:w="40" w:type="dxa"/>
            <w:vAlign w:val="bottom"/>
          </w:tcPr>
          <w:p>
            <w:pPr>
              <w:spacing w:after="0"/>
              <w:rPr>
                <w:sz w:val="22"/>
                <w:szCs w:val="22"/>
                <w:color w:val="auto"/>
              </w:rPr>
            </w:pPr>
          </w:p>
        </w:tc>
        <w:tc>
          <w:tcPr>
            <w:tcW w:w="240" w:type="dxa"/>
            <w:vAlign w:val="bottom"/>
            <w:gridSpan w:val="3"/>
          </w:tcPr>
          <w:p>
            <w:pPr>
              <w:jc w:val="cente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170,745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1,717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1,188,373</w:t>
            </w:r>
          </w:p>
        </w:tc>
      </w:tr>
      <w:tr>
        <w:trPr>
          <w:trHeight w:val="28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Europe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386,142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408,708</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317,647</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132,352</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12,677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1,257,526</w:t>
            </w:r>
          </w:p>
        </w:tc>
      </w:tr>
      <w:tr>
        <w:trPr>
          <w:trHeight w:val="260"/>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93,593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27,213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25,836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146,642</w:t>
            </w:r>
          </w:p>
        </w:tc>
      </w:tr>
      <w:tr>
        <w:trPr>
          <w:trHeight w:val="273"/>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Inter-segment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5,631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2,068</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2,956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11,345</w:t>
            </w:r>
          </w:p>
        </w:tc>
      </w:tr>
      <w:tr>
        <w:trPr>
          <w:trHeight w:val="250"/>
        </w:trPr>
        <w:tc>
          <w:tcPr>
            <w:tcW w:w="4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segment revenue</w:t>
            </w: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1,499,141</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410,776</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320,473</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333,266</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40,230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2,603,886</w:t>
            </w:r>
          </w:p>
        </w:tc>
      </w:tr>
      <w:tr>
        <w:trPr>
          <w:trHeight w:val="25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inter-segment elimination</w:t>
            </w: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(11,345)</w:t>
            </w:r>
          </w:p>
        </w:tc>
      </w:tr>
      <w:tr>
        <w:trPr>
          <w:trHeight w:val="240"/>
        </w:trPr>
        <w:tc>
          <w:tcPr>
            <w:tcW w:w="4060" w:type="dxa"/>
            <w:vAlign w:val="bottom"/>
            <w:gridSpan w:val="2"/>
          </w:tcPr>
          <w:p>
            <w:pPr>
              <w:ind w:left="40"/>
              <w:spacing w:after="0"/>
              <w:rPr>
                <w:sz w:val="20"/>
                <w:szCs w:val="20"/>
                <w:color w:val="auto"/>
              </w:rPr>
            </w:pPr>
            <w:r>
              <w:rPr>
                <w:rFonts w:ascii="Arial" w:cs="Arial" w:eastAsia="Arial" w:hAnsi="Arial"/>
                <w:sz w:val="16"/>
                <w:szCs w:val="16"/>
                <w:color w:val="auto"/>
              </w:rPr>
              <w:t>Total external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1,493,510</w:t>
            </w:r>
          </w:p>
        </w:tc>
        <w:tc>
          <w:tcPr>
            <w:tcW w:w="60" w:type="dxa"/>
            <w:vAlign w:val="bottom"/>
          </w:tcPr>
          <w:p>
            <w:pPr>
              <w:spacing w:after="0"/>
              <w:rPr>
                <w:sz w:val="20"/>
                <w:szCs w:val="20"/>
                <w:color w:val="auto"/>
              </w:rPr>
            </w:pPr>
          </w:p>
        </w:tc>
        <w:tc>
          <w:tcPr>
            <w:tcW w:w="240" w:type="dxa"/>
            <w:vAlign w:val="bottom"/>
            <w:gridSpan w:val="3"/>
          </w:tcPr>
          <w:p>
            <w:pPr>
              <w:jc w:val="right"/>
              <w:ind w:right="1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408,708</w:t>
            </w:r>
          </w:p>
        </w:tc>
        <w:tc>
          <w:tcPr>
            <w:tcW w:w="60" w:type="dxa"/>
            <w:vAlign w:val="bottom"/>
          </w:tcPr>
          <w:p>
            <w:pPr>
              <w:spacing w:after="0"/>
              <w:rPr>
                <w:sz w:val="20"/>
                <w:szCs w:val="20"/>
                <w:color w:val="auto"/>
              </w:rPr>
            </w:pPr>
          </w:p>
        </w:tc>
        <w:tc>
          <w:tcPr>
            <w:tcW w:w="360" w:type="dxa"/>
            <w:vAlign w:val="bottom"/>
            <w:gridSpan w:val="3"/>
          </w:tcPr>
          <w:p>
            <w:pPr>
              <w:jc w:val="right"/>
              <w:ind w:right="11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319,783</w:t>
            </w:r>
          </w:p>
        </w:tc>
        <w:tc>
          <w:tcPr>
            <w:tcW w:w="40" w:type="dxa"/>
            <w:vAlign w:val="bottom"/>
          </w:tcPr>
          <w:p>
            <w:pPr>
              <w:spacing w:after="0"/>
              <w:rPr>
                <w:sz w:val="20"/>
                <w:szCs w:val="20"/>
                <w:color w:val="auto"/>
              </w:rPr>
            </w:pPr>
          </w:p>
        </w:tc>
        <w:tc>
          <w:tcPr>
            <w:tcW w:w="240" w:type="dxa"/>
            <w:vAlign w:val="bottom"/>
            <w:gridSpan w:val="3"/>
          </w:tcPr>
          <w:p>
            <w:pPr>
              <w:jc w:val="center"/>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330,310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40,230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2,592,541</w:t>
            </w:r>
          </w:p>
        </w:tc>
      </w:tr>
      <w:tr>
        <w:trPr>
          <w:trHeight w:val="20"/>
        </w:trPr>
        <w:tc>
          <w:tcPr>
            <w:tcW w:w="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630"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The following table includes segment EBITDA by reportable segment, total income from operations and total income before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2018</w:t>
            </w: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EBITDA:</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366,334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349,697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309,783</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39,373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43,474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41,129</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The Print Group</w:t>
            </w:r>
          </w:p>
        </w:tc>
        <w:tc>
          <w:tcPr>
            <w:tcW w:w="3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51,606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63,997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63,529</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17,299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29,438</w:t>
            </w:r>
          </w:p>
        </w:tc>
      </w:tr>
      <w:tr>
        <w:trPr>
          <w:trHeight w:val="263"/>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All Other Businesses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17,474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(10,603)</w:t>
            </w:r>
          </w:p>
        </w:tc>
      </w:tr>
      <w:tr>
        <w:trPr>
          <w:trHeight w:val="250"/>
        </w:trPr>
        <w:tc>
          <w:tcPr>
            <w:tcW w:w="66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segment EBITDA</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482,392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468,150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433,276</w:t>
            </w:r>
          </w:p>
        </w:tc>
      </w:tr>
      <w:tr>
        <w:trPr>
          <w:trHeight w:val="247"/>
        </w:trPr>
        <w:tc>
          <w:tcPr>
            <w:tcW w:w="6640" w:type="dxa"/>
            <w:vAlign w:val="bottom"/>
          </w:tcPr>
          <w:p>
            <w:pPr>
              <w:ind w:left="380"/>
              <w:spacing w:after="0"/>
              <w:rPr>
                <w:sz w:val="20"/>
                <w:szCs w:val="20"/>
                <w:color w:val="auto"/>
              </w:rPr>
            </w:pPr>
            <w:r>
              <w:rPr>
                <w:rFonts w:ascii="Arial" w:cs="Arial" w:eastAsia="Arial" w:hAnsi="Arial"/>
                <w:sz w:val="16"/>
                <w:szCs w:val="16"/>
                <w:color w:val="auto"/>
              </w:rPr>
              <w:t>Central and corporate costs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(140,398)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(138,037)</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(172,957)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(169,005)</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Waltham, MA lease depreciation adjustment (1)</w:t>
            </w:r>
          </w:p>
        </w:tc>
        <w:tc>
          <w:tcPr>
            <w:tcW w:w="3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4,120</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insurance</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Earn-out related charges</w:t>
            </w:r>
          </w:p>
        </w:tc>
        <w:tc>
          <w:tcPr>
            <w:tcW w:w="3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(2,391)</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Share-based compensation related to investment consideration</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(6,792)</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Certain impairments and other adjustments (2)</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(104,593)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(2,893)</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Restructuring-related charges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(15,236)</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Interest expense for Waltham, MA lease (1)</w:t>
            </w:r>
          </w:p>
        </w:tc>
        <w:tc>
          <w:tcPr>
            <w:tcW w:w="3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7,236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7,489</w:t>
            </w:r>
          </w:p>
        </w:tc>
      </w:tr>
      <w:tr>
        <w:trPr>
          <w:trHeight w:val="273"/>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the purchase or sale of subsidiaries (3)</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47,945</w:t>
            </w:r>
          </w:p>
        </w:tc>
      </w:tr>
      <w:tr>
        <w:trPr>
          <w:trHeight w:val="250"/>
        </w:trPr>
        <w:tc>
          <w:tcPr>
            <w:tcW w:w="66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income from operations</w:t>
            </w: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55,969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163,607</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157,800</w:t>
            </w:r>
          </w:p>
        </w:tc>
      </w:tr>
      <w:tr>
        <w:trPr>
          <w:trHeight w:val="256"/>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22,874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26,476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(21,032)</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(75,840)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(63,171)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(53,043)</w:t>
            </w:r>
          </w:p>
        </w:tc>
      </w:tr>
      <w:tr>
        <w:trPr>
          <w:trHeight w:val="273"/>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Loss on early extinguishment of debt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(17,359)</w:t>
            </w:r>
          </w:p>
        </w:tc>
      </w:tr>
      <w:tr>
        <w:trPr>
          <w:trHeight w:val="240"/>
        </w:trPr>
        <w:tc>
          <w:tcPr>
            <w:tcW w:w="6640" w:type="dxa"/>
            <w:vAlign w:val="bottom"/>
          </w:tcPr>
          <w:p>
            <w:pPr>
              <w:ind w:left="720"/>
              <w:spacing w:after="0"/>
              <w:rPr>
                <w:sz w:val="20"/>
                <w:szCs w:val="20"/>
                <w:color w:val="auto"/>
              </w:rPr>
            </w:pPr>
            <w:r>
              <w:rPr>
                <w:rFonts w:ascii="Arial" w:cs="Arial" w:eastAsia="Arial" w:hAnsi="Arial"/>
                <w:sz w:val="16"/>
                <w:szCs w:val="16"/>
                <w:color w:val="auto"/>
              </w:rPr>
              <w:t>Income before income taxes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3,003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126,912</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66,366</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6" w:lineRule="exact"/>
        <w:rPr>
          <w:sz w:val="20"/>
          <w:szCs w:val="20"/>
          <w:color w:val="auto"/>
        </w:rPr>
      </w:pPr>
    </w:p>
    <w:p>
      <w:pPr>
        <w:ind w:left="260" w:right="260" w:hanging="252"/>
        <w:spacing w:after="0" w:line="249" w:lineRule="auto"/>
        <w:tabs>
          <w:tab w:leader="none" w:pos="233" w:val="left"/>
        </w:tabs>
        <w:numPr>
          <w:ilvl w:val="0"/>
          <w:numId w:val="70"/>
        </w:numPr>
        <w:rPr>
          <w:rFonts w:ascii="Arial" w:cs="Arial" w:eastAsia="Arial" w:hAnsi="Arial"/>
          <w:sz w:val="14"/>
          <w:szCs w:val="14"/>
          <w:color w:val="auto"/>
        </w:rPr>
      </w:pPr>
      <w:r>
        <w:rPr>
          <w:rFonts w:ascii="Arial" w:cs="Arial" w:eastAsia="Arial" w:hAnsi="Arial"/>
          <w:sz w:val="14"/>
          <w:szCs w:val="14"/>
          <w:color w:val="auto"/>
        </w:rPr>
        <w:t>Upon the adoption of the new leasing standard on July 1, 2019, our Waltham, MA lease, which was previously classified as build-to-suit, is now classified as an operating lease under the new standard. Therefore, the Waltham depreciation and interest expense adjustments that were made in comparative periods will no longer be made beginning in the first fiscal quarter of 2020, as any impact from the Waltham lease will be reflected in operating income. Refer to Note 2 for additional details.</w:t>
      </w:r>
    </w:p>
    <w:p>
      <w:pPr>
        <w:spacing w:after="0" w:line="38" w:lineRule="exact"/>
        <w:rPr>
          <w:rFonts w:ascii="Arial" w:cs="Arial" w:eastAsia="Arial" w:hAnsi="Arial"/>
          <w:sz w:val="14"/>
          <w:szCs w:val="14"/>
          <w:color w:val="auto"/>
        </w:rPr>
      </w:pPr>
    </w:p>
    <w:p>
      <w:pPr>
        <w:ind w:left="260" w:right="180" w:hanging="252"/>
        <w:spacing w:after="0" w:line="249" w:lineRule="auto"/>
        <w:tabs>
          <w:tab w:leader="none" w:pos="233"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impairments of goodwill defined by ASC 350 - "Intangibles - Goodwill and Other" of $100,842, as well as losses of $1,520 recognized for fair value adjustments to the disposal group related to our VIDA sale during the year ended June 30, 2020. During fiscal year 2019 we recognized reserves for loans as defined by ASC 326 - "Financial Instruments - Credit Losses".</w:t>
      </w:r>
    </w:p>
    <w:p>
      <w:pPr>
        <w:spacing w:after="0" w:line="38" w:lineRule="exact"/>
        <w:rPr>
          <w:rFonts w:ascii="Arial" w:cs="Arial" w:eastAsia="Arial" w:hAnsi="Arial"/>
          <w:sz w:val="14"/>
          <w:szCs w:val="14"/>
          <w:color w:val="auto"/>
        </w:rPr>
      </w:pPr>
    </w:p>
    <w:p>
      <w:pPr>
        <w:ind w:left="260" w:right="60" w:hanging="252"/>
        <w:spacing w:after="0" w:line="258" w:lineRule="auto"/>
        <w:tabs>
          <w:tab w:leader="none" w:pos="233"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that was recognized in general and administrative expense in our consolidated statement of operations during the year ended June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2018</w:t>
            </w: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59,029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67,317</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70,498</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21,010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22,108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25,005</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The Print Group</w:t>
            </w: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24,769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29,437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34,594</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23,654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21,642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21,546</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All Other Businesses</w:t>
            </w: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23,755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17,068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3,929</w:t>
            </w:r>
          </w:p>
        </w:tc>
      </w:tr>
      <w:tr>
        <w:trPr>
          <w:trHeight w:val="273"/>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15,726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16,199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13,433</w:t>
            </w:r>
          </w:p>
        </w:tc>
      </w:tr>
      <w:tr>
        <w:trPr>
          <w:trHeight w:val="240"/>
        </w:trPr>
        <w:tc>
          <w:tcPr>
            <w:tcW w:w="6640" w:type="dxa"/>
            <w:vAlign w:val="bottom"/>
          </w:tcPr>
          <w:p>
            <w:pPr>
              <w:ind w:left="720"/>
              <w:spacing w:after="0"/>
              <w:rPr>
                <w:sz w:val="20"/>
                <w:szCs w:val="20"/>
                <w:color w:val="auto"/>
              </w:rPr>
            </w:pPr>
            <w:r>
              <w:rPr>
                <w:rFonts w:ascii="Arial" w:cs="Arial" w:eastAsia="Arial" w:hAnsi="Arial"/>
                <w:sz w:val="16"/>
                <w:szCs w:val="16"/>
                <w:color w:val="auto"/>
              </w:rPr>
              <w:t>Total depreciation and amortization</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167,943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173,771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169,005</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544"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7"/>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2018</w:t>
            </w: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15,986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32,820</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35,998</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3,521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6,469</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The Print Group</w:t>
            </w: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17,136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7,908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9,743</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8,346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6,565</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All Other Businesses</w:t>
            </w: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16,996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947</w:t>
            </w:r>
          </w:p>
        </w:tc>
      </w:tr>
      <w:tr>
        <w:trPr>
          <w:trHeight w:val="273"/>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3,772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1,208</w:t>
            </w:r>
          </w:p>
        </w:tc>
      </w:tr>
      <w:tr>
        <w:trPr>
          <w:trHeight w:val="240"/>
        </w:trPr>
        <w:tc>
          <w:tcPr>
            <w:tcW w:w="6640" w:type="dxa"/>
            <w:vAlign w:val="bottom"/>
          </w:tcPr>
          <w:p>
            <w:pPr>
              <w:ind w:left="720"/>
              <w:spacing w:after="0"/>
              <w:rPr>
                <w:sz w:val="20"/>
                <w:szCs w:val="20"/>
                <w:color w:val="auto"/>
              </w:rPr>
            </w:pPr>
            <w:r>
              <w:rPr>
                <w:rFonts w:ascii="Arial" w:cs="Arial" w:eastAsia="Arial" w:hAnsi="Arial"/>
                <w:sz w:val="16"/>
                <w:szCs w:val="16"/>
                <w:color w:val="auto"/>
              </w:rPr>
              <w:t>Total purchases of property, plant and equipment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50,467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70,563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60,930</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6"/>
        </w:trPr>
        <w:tc>
          <w:tcPr>
            <w:tcW w:w="6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2018</w:t>
            </w: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18,381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23,369</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23,457</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PrintBrothers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1,836</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The Print Group</w:t>
            </w: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2,327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2,174</w:t>
            </w:r>
          </w:p>
        </w:tc>
      </w:tr>
      <w:tr>
        <w:trPr>
          <w:trHeight w:val="280"/>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National Pen</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3,624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1,482</w:t>
            </w:r>
          </w:p>
        </w:tc>
      </w:tr>
      <w:tr>
        <w:trPr>
          <w:trHeight w:val="260"/>
        </w:trPr>
        <w:tc>
          <w:tcPr>
            <w:tcW w:w="6640" w:type="dxa"/>
            <w:vAlign w:val="bottom"/>
          </w:tcPr>
          <w:p>
            <w:pPr>
              <w:ind w:left="380"/>
              <w:spacing w:after="0"/>
              <w:rPr>
                <w:sz w:val="20"/>
                <w:szCs w:val="20"/>
                <w:color w:val="auto"/>
              </w:rPr>
            </w:pPr>
            <w:r>
              <w:rPr>
                <w:rFonts w:ascii="Arial" w:cs="Arial" w:eastAsia="Arial" w:hAnsi="Arial"/>
                <w:sz w:val="16"/>
                <w:szCs w:val="16"/>
                <w:color w:val="auto"/>
              </w:rPr>
              <w:t>All Other Businesses</w:t>
            </w: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3,684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445</w:t>
            </w:r>
          </w:p>
        </w:tc>
      </w:tr>
      <w:tr>
        <w:trPr>
          <w:trHeight w:val="273"/>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16,163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14,597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11,453</w:t>
            </w:r>
          </w:p>
        </w:tc>
      </w:tr>
      <w:tr>
        <w:trPr>
          <w:trHeight w:val="240"/>
        </w:trPr>
        <w:tc>
          <w:tcPr>
            <w:tcW w:w="6640" w:type="dxa"/>
            <w:vAlign w:val="bottom"/>
          </w:tcPr>
          <w:p>
            <w:pPr>
              <w:ind w:left="720"/>
              <w:spacing w:after="0"/>
              <w:rPr>
                <w:sz w:val="20"/>
                <w:szCs w:val="20"/>
                <w:color w:val="auto"/>
              </w:rPr>
            </w:pPr>
            <w:r>
              <w:rPr>
                <w:rFonts w:ascii="Arial" w:cs="Arial" w:eastAsia="Arial" w:hAnsi="Arial"/>
                <w:sz w:val="16"/>
                <w:szCs w:val="16"/>
                <w:color w:val="auto"/>
              </w:rPr>
              <w:t>Total capitalization of software and website development costs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43,992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48,652</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40,847</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Enterprise Wide Disclosures: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revenues by geographic area and groups of similar products and services: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2018</w:t>
            </w:r>
          </w:p>
        </w:tc>
      </w:tr>
      <w:tr>
        <w:trPr>
          <w:trHeight w:val="256"/>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1,251,531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1,361,438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1,078,544</w:t>
            </w:r>
          </w:p>
        </w:tc>
      </w:tr>
      <w:tr>
        <w:trPr>
          <w:trHeight w:val="260"/>
        </w:trPr>
        <w:tc>
          <w:tcPr>
            <w:tcW w:w="6640" w:type="dxa"/>
            <w:vAlign w:val="bottom"/>
          </w:tcPr>
          <w:p>
            <w:pPr>
              <w:ind w:left="360"/>
              <w:spacing w:after="0"/>
              <w:rPr>
                <w:sz w:val="20"/>
                <w:szCs w:val="20"/>
                <w:color w:val="auto"/>
              </w:rPr>
            </w:pPr>
            <w:r>
              <w:rPr>
                <w:rFonts w:ascii="Arial" w:cs="Arial" w:eastAsia="Arial" w:hAnsi="Arial"/>
                <w:sz w:val="16"/>
                <w:szCs w:val="16"/>
                <w:color w:val="auto"/>
              </w:rPr>
              <w:t>Germany (1)</w:t>
            </w:r>
          </w:p>
        </w:tc>
        <w:tc>
          <w:tcPr>
            <w:tcW w:w="36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351,348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46"/>
              <w:spacing w:after="0"/>
              <w:rPr>
                <w:sz w:val="20"/>
                <w:szCs w:val="20"/>
                <w:color w:val="auto"/>
              </w:rPr>
            </w:pPr>
            <w:r>
              <w:rPr>
                <w:rFonts w:ascii="Arial" w:cs="Arial" w:eastAsia="Arial" w:hAnsi="Arial"/>
                <w:sz w:val="16"/>
                <w:szCs w:val="16"/>
                <w:color w:val="auto"/>
              </w:rPr>
              <w:t>367,375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340,881</w:t>
            </w:r>
          </w:p>
        </w:tc>
      </w:tr>
      <w:tr>
        <w:trPr>
          <w:trHeight w:val="273"/>
        </w:trPr>
        <w:tc>
          <w:tcPr>
            <w:tcW w:w="6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(2)</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878,479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1,022,263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1,173,116</w:t>
            </w:r>
          </w:p>
        </w:tc>
      </w:tr>
      <w:tr>
        <w:trPr>
          <w:trHeight w:val="240"/>
        </w:trPr>
        <w:tc>
          <w:tcPr>
            <w:tcW w:w="6640" w:type="dxa"/>
            <w:vAlign w:val="bottom"/>
          </w:tcPr>
          <w:p>
            <w:pPr>
              <w:ind w:left="7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2,481,358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2,751,076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2,592,541</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82"/>
        </w:trPr>
        <w:tc>
          <w:tcPr>
            <w:tcW w:w="6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Year Ended June 30,</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3"/>
        </w:trPr>
        <w:tc>
          <w:tcPr>
            <w:tcW w:w="6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2018</w:t>
            </w:r>
          </w:p>
        </w:tc>
      </w:tr>
      <w:tr>
        <w:trPr>
          <w:trHeight w:val="257"/>
        </w:trPr>
        <w:tc>
          <w:tcPr>
            <w:tcW w:w="6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Physical printed products and other (3)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2,431,367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2,700,167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2,537,201</w:t>
            </w:r>
          </w:p>
        </w:tc>
      </w:tr>
      <w:tr>
        <w:trPr>
          <w:trHeight w:val="263"/>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Digital products/services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49,991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50,909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55,340</w:t>
            </w:r>
          </w:p>
        </w:tc>
      </w:tr>
      <w:tr>
        <w:trPr>
          <w:trHeight w:val="24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2,481,358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2,751,076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2,592,541</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55"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revenues within the German market exceeded 10% of our total consolidated revenue. Therefore, we have presented Germany as a significant geographic area.</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Our other revenue includes Ireland, our country of domicile.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Other revenue includes miscellaneous items which account for less than 1% of revenue.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576"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2020</w:t>
            </w:r>
          </w:p>
        </w:tc>
        <w:tc>
          <w:tcPr>
            <w:tcW w:w="240" w:type="dxa"/>
            <w:vAlign w:val="bottom"/>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2019</w:t>
            </w:r>
          </w:p>
        </w:tc>
        <w:tc>
          <w:tcPr>
            <w:tcW w:w="0" w:type="dxa"/>
            <w:vAlign w:val="bottom"/>
          </w:tcPr>
          <w:p>
            <w:pPr>
              <w:spacing w:after="0"/>
              <w:rPr>
                <w:sz w:val="1"/>
                <w:szCs w:val="1"/>
                <w:color w:val="auto"/>
              </w:rPr>
            </w:pPr>
          </w:p>
        </w:tc>
      </w:tr>
      <w:tr>
        <w:trPr>
          <w:trHeight w:val="247"/>
        </w:trPr>
        <w:tc>
          <w:tcPr>
            <w:tcW w:w="7980" w:type="dxa"/>
            <w:vAlign w:val="bottom"/>
          </w:tcPr>
          <w:p>
            <w:pPr>
              <w:ind w:left="40"/>
              <w:spacing w:after="0"/>
              <w:rPr>
                <w:sz w:val="20"/>
                <w:szCs w:val="20"/>
                <w:color w:val="auto"/>
              </w:rPr>
            </w:pPr>
            <w:r>
              <w:rPr>
                <w:rFonts w:ascii="Arial" w:cs="Arial" w:eastAsia="Arial" w:hAnsi="Arial"/>
                <w:sz w:val="16"/>
                <w:szCs w:val="16"/>
                <w:color w:val="auto"/>
              </w:rPr>
              <w:t>Long-lived assets (1):</w:t>
            </w:r>
          </w:p>
        </w:tc>
        <w:tc>
          <w:tcPr>
            <w:tcW w:w="2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161,853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57,118</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Netherlands</w:t>
            </w:r>
          </w:p>
        </w:tc>
        <w:tc>
          <w:tcPr>
            <w:tcW w:w="26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82,897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73,601</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67,367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73,447</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6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58,013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57,488</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Italy</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46,317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43,203</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Jamaica</w:t>
            </w:r>
          </w:p>
        </w:tc>
        <w:tc>
          <w:tcPr>
            <w:tcW w:w="26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21,563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21,267</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19,695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20,749</w:t>
            </w:r>
          </w:p>
        </w:tc>
        <w:tc>
          <w:tcPr>
            <w:tcW w:w="0" w:type="dxa"/>
            <w:vAlign w:val="bottom"/>
          </w:tcPr>
          <w:p>
            <w:pPr>
              <w:spacing w:after="0"/>
              <w:rPr>
                <w:sz w:val="1"/>
                <w:szCs w:val="1"/>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France</w:t>
            </w:r>
          </w:p>
        </w:tc>
        <w:tc>
          <w:tcPr>
            <w:tcW w:w="26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23,917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18,533</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Japan</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17,768</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94,922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79,006</w:t>
            </w:r>
          </w:p>
        </w:tc>
        <w:tc>
          <w:tcPr>
            <w:tcW w:w="0" w:type="dxa"/>
            <w:vAlign w:val="bottom"/>
          </w:tcPr>
          <w:p>
            <w:pPr>
              <w:spacing w:after="0"/>
              <w:rPr>
                <w:sz w:val="1"/>
                <w:szCs w:val="1"/>
                <w:color w:val="auto"/>
              </w:rPr>
            </w:pPr>
          </w:p>
        </w:tc>
      </w:tr>
      <w:tr>
        <w:trPr>
          <w:trHeight w:val="24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591,974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462,180</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260" w:right="140" w:hanging="252"/>
        <w:spacing w:after="0" w:line="249" w:lineRule="auto"/>
        <w:tabs>
          <w:tab w:leader="none" w:pos="233" w:val="left"/>
        </w:tabs>
        <w:numPr>
          <w:ilvl w:val="0"/>
          <w:numId w:val="72"/>
        </w:numPr>
        <w:rPr>
          <w:rFonts w:ascii="Arial" w:cs="Arial" w:eastAsia="Arial" w:hAnsi="Arial"/>
          <w:sz w:val="14"/>
          <w:szCs w:val="14"/>
          <w:color w:val="auto"/>
        </w:rPr>
      </w:pPr>
      <w:r>
        <w:rPr>
          <w:rFonts w:ascii="Arial" w:cs="Arial" w:eastAsia="Arial" w:hAnsi="Arial"/>
          <w:sz w:val="14"/>
          <w:szCs w:val="14"/>
          <w:color w:val="auto"/>
        </w:rPr>
        <w:t>Excludes goodwill of $621,904 and $718,880, intangible assets, net of $209,228 and $262,701, and deferred tax assets of $143,496 and $59,906 as of June 30, 2020 and June 30, 2019, respectively. Build-to-suit lease assets of $124,408 are excluded for the year ended June 30, 2019, and upon our adoption of ASC 842 on July 1, 2019, our Waltham, MA and Dallas, TX build-to-suit lease asset balances were de-recognized.</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2020, all operating lease assets are recognized within the balances above. Refer to Note 2 for additional details.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Leases</w:t>
      </w:r>
    </w:p>
    <w:p>
      <w:pPr>
        <w:spacing w:after="0" w:line="139" w:lineRule="exact"/>
        <w:rPr>
          <w:sz w:val="20"/>
          <w:szCs w:val="20"/>
          <w:color w:val="auto"/>
        </w:rPr>
      </w:pPr>
    </w:p>
    <w:p>
      <w:pPr>
        <w:ind w:right="580" w:firstLine="648"/>
        <w:spacing w:after="0" w:line="261" w:lineRule="auto"/>
        <w:rPr>
          <w:sz w:val="20"/>
          <w:szCs w:val="20"/>
          <w:color w:val="auto"/>
        </w:rPr>
      </w:pPr>
      <w:r>
        <w:rPr>
          <w:rFonts w:ascii="Arial" w:cs="Arial" w:eastAsia="Arial" w:hAnsi="Arial"/>
          <w:sz w:val="18"/>
          <w:szCs w:val="18"/>
          <w:color w:val="auto"/>
        </w:rPr>
        <w:t>We lease certain machinery and plant equipment, office space, and production and warehouse facilities under non-cancelable operating leases that expire on various dates through 2034. Our finance leases primarily relate to machinery and plant equipment.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classification of right-of-use assets and lease liabilities as of June 30, 2020:</w:t>
      </w:r>
    </w:p>
    <w:p>
      <w:pPr>
        <w:spacing w:after="0" w:line="231" w:lineRule="exact"/>
        <w:rPr>
          <w:sz w:val="20"/>
          <w:szCs w:val="20"/>
          <w:color w:val="auto"/>
        </w:rPr>
      </w:pPr>
    </w:p>
    <w:p>
      <w:pPr>
        <w:ind w:left="40"/>
        <w:spacing w:after="0"/>
        <w:tabs>
          <w:tab w:leader="none" w:pos="4300" w:val="left"/>
          <w:tab w:leader="none" w:pos="9680" w:val="left"/>
        </w:tabs>
        <w:rPr>
          <w:sz w:val="20"/>
          <w:szCs w:val="20"/>
          <w:color w:val="auto"/>
        </w:rPr>
      </w:pPr>
      <w:r>
        <w:rPr>
          <w:rFonts w:ascii="Arial" w:cs="Arial" w:eastAsia="Arial" w:hAnsi="Arial"/>
          <w:sz w:val="13"/>
          <w:szCs w:val="13"/>
          <w:b w:val="1"/>
          <w:bCs w:val="1"/>
          <w:color w:val="auto"/>
        </w:rPr>
        <w:t>Leases</w:t>
      </w:r>
      <w:r>
        <w:rPr>
          <w:sz w:val="20"/>
          <w:szCs w:val="20"/>
          <w:color w:val="auto"/>
        </w:rPr>
        <w:tab/>
      </w:r>
      <w:r>
        <w:rPr>
          <w:rFonts w:ascii="Arial" w:cs="Arial" w:eastAsia="Arial" w:hAnsi="Arial"/>
          <w:sz w:val="13"/>
          <w:szCs w:val="13"/>
          <w:b w:val="1"/>
          <w:bCs w:val="1"/>
          <w:color w:val="auto"/>
        </w:rPr>
        <w:t>Consolidated Balance Sheet Classification</w:t>
      </w:r>
      <w:r>
        <w:rPr>
          <w:sz w:val="20"/>
          <w:szCs w:val="20"/>
          <w:color w:val="auto"/>
        </w:rPr>
        <w:tab/>
      </w:r>
      <w:r>
        <w:rPr>
          <w:rFonts w:ascii="Arial" w:cs="Arial" w:eastAsia="Arial" w:hAnsi="Arial"/>
          <w:sz w:val="12"/>
          <w:szCs w:val="12"/>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40"/>
              <w:spacing w:after="0"/>
              <w:rPr>
                <w:sz w:val="20"/>
                <w:szCs w:val="20"/>
                <w:color w:val="auto"/>
              </w:rPr>
            </w:pPr>
            <w:r>
              <w:rPr>
                <w:rFonts w:ascii="Arial" w:cs="Arial" w:eastAsia="Arial" w:hAnsi="Arial"/>
                <w:sz w:val="16"/>
                <w:szCs w:val="16"/>
                <w:color w:val="auto"/>
              </w:rPr>
              <w:t>Operating right-of-use assets</w:t>
            </w:r>
          </w:p>
        </w:tc>
        <w:tc>
          <w:tcPr>
            <w:tcW w:w="5780" w:type="dxa"/>
            <w:vAlign w:val="bottom"/>
          </w:tcPr>
          <w:p>
            <w:pPr>
              <w:ind w:left="1100"/>
              <w:spacing w:after="0"/>
              <w:rPr>
                <w:sz w:val="20"/>
                <w:szCs w:val="20"/>
                <w:color w:val="auto"/>
              </w:rPr>
            </w:pPr>
            <w:r>
              <w:rPr>
                <w:rFonts w:ascii="Arial" w:cs="Arial" w:eastAsia="Arial" w:hAnsi="Arial"/>
                <w:sz w:val="16"/>
                <w:szCs w:val="16"/>
                <w:color w:val="auto"/>
              </w:rPr>
              <w:t>Operating lease assets, net</w:t>
            </w: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156,258</w:t>
            </w:r>
          </w:p>
        </w:tc>
      </w:tr>
      <w:tr>
        <w:trPr>
          <w:trHeight w:val="273"/>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Finance right-of-use assets</w:t>
            </w:r>
          </w:p>
        </w:tc>
        <w:tc>
          <w:tcPr>
            <w:tcW w:w="5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Property, plant, and equipment, net</w:t>
            </w:r>
          </w:p>
        </w:tc>
        <w:tc>
          <w:tcPr>
            <w:tcW w:w="8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20,842</w:t>
            </w:r>
          </w:p>
        </w:tc>
      </w:tr>
      <w:tr>
        <w:trPr>
          <w:trHeight w:val="280"/>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lease assets</w:t>
            </w:r>
          </w:p>
        </w:tc>
        <w:tc>
          <w:tcPr>
            <w:tcW w:w="57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177,100</w:t>
            </w:r>
          </w:p>
        </w:tc>
      </w:tr>
      <w:tr>
        <w:trPr>
          <w:trHeight w:val="253"/>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57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60"/>
        </w:trPr>
        <w:tc>
          <w:tcPr>
            <w:tcW w:w="3220" w:type="dxa"/>
            <w:vAlign w:val="bottom"/>
          </w:tcPr>
          <w:p>
            <w:pPr>
              <w:ind w:left="40"/>
              <w:spacing w:after="0"/>
              <w:rPr>
                <w:sz w:val="20"/>
                <w:szCs w:val="20"/>
                <w:color w:val="auto"/>
              </w:rPr>
            </w:pPr>
            <w:r>
              <w:rPr>
                <w:rFonts w:ascii="Arial" w:cs="Arial" w:eastAsia="Arial" w:hAnsi="Arial"/>
                <w:sz w:val="16"/>
                <w:szCs w:val="16"/>
                <w:color w:val="auto"/>
              </w:rPr>
              <w:t>Current:</w:t>
            </w:r>
          </w:p>
        </w:tc>
        <w:tc>
          <w:tcPr>
            <w:tcW w:w="5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5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Operating lease liabilities, current</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41,772</w:t>
            </w:r>
          </w:p>
        </w:tc>
      </w:tr>
      <w:tr>
        <w:trPr>
          <w:trHeight w:val="260"/>
        </w:trPr>
        <w:tc>
          <w:tcPr>
            <w:tcW w:w="3220" w:type="dxa"/>
            <w:vAlign w:val="bottom"/>
          </w:tcPr>
          <w:p>
            <w:pPr>
              <w:ind w:left="220"/>
              <w:spacing w:after="0"/>
              <w:rPr>
                <w:sz w:val="20"/>
                <w:szCs w:val="20"/>
                <w:color w:val="auto"/>
              </w:rPr>
            </w:pPr>
            <w:r>
              <w:rPr>
                <w:rFonts w:ascii="Arial" w:cs="Arial" w:eastAsia="Arial" w:hAnsi="Arial"/>
                <w:sz w:val="16"/>
                <w:szCs w:val="16"/>
                <w:color w:val="auto"/>
              </w:rPr>
              <w:t>Finance lease liabilities</w:t>
            </w:r>
          </w:p>
        </w:tc>
        <w:tc>
          <w:tcPr>
            <w:tcW w:w="5780" w:type="dxa"/>
            <w:vAlign w:val="bottom"/>
          </w:tcPr>
          <w:p>
            <w:pPr>
              <w:ind w:left="1100"/>
              <w:spacing w:after="0"/>
              <w:rPr>
                <w:sz w:val="20"/>
                <w:szCs w:val="20"/>
                <w:color w:val="auto"/>
              </w:rPr>
            </w:pPr>
            <w:r>
              <w:rPr>
                <w:rFonts w:ascii="Arial" w:cs="Arial" w:eastAsia="Arial" w:hAnsi="Arial"/>
                <w:sz w:val="16"/>
                <w:szCs w:val="16"/>
                <w:color w:val="auto"/>
              </w:rPr>
              <w:t>Other current liabilities</w:t>
            </w:r>
          </w:p>
        </w:tc>
        <w:tc>
          <w:tcPr>
            <w:tcW w:w="84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8,055</w:t>
            </w:r>
          </w:p>
        </w:tc>
      </w:tr>
      <w:tr>
        <w:trPr>
          <w:trHeight w:val="280"/>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57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0"/>
        </w:trPr>
        <w:tc>
          <w:tcPr>
            <w:tcW w:w="322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5780" w:type="dxa"/>
            <w:vAlign w:val="bottom"/>
          </w:tcPr>
          <w:p>
            <w:pPr>
              <w:ind w:left="1100"/>
              <w:spacing w:after="0"/>
              <w:rPr>
                <w:sz w:val="20"/>
                <w:szCs w:val="20"/>
                <w:color w:val="auto"/>
              </w:rPr>
            </w:pPr>
            <w:r>
              <w:rPr>
                <w:rFonts w:ascii="Arial" w:cs="Arial" w:eastAsia="Arial" w:hAnsi="Arial"/>
                <w:sz w:val="16"/>
                <w:szCs w:val="16"/>
                <w:color w:val="auto"/>
              </w:rPr>
              <w:t>Operating lease liabilities, non-current</w:t>
            </w:r>
          </w:p>
        </w:tc>
        <w:tc>
          <w:tcPr>
            <w:tcW w:w="84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128,963</w:t>
            </w:r>
          </w:p>
        </w:tc>
      </w:tr>
      <w:tr>
        <w:trPr>
          <w:trHeight w:val="273"/>
        </w:trPr>
        <w:tc>
          <w:tcPr>
            <w:tcW w:w="3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liabilities</w:t>
            </w:r>
          </w:p>
        </w:tc>
        <w:tc>
          <w:tcPr>
            <w:tcW w:w="57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Other liabilities</w:t>
            </w:r>
          </w:p>
        </w:tc>
        <w:tc>
          <w:tcPr>
            <w:tcW w:w="8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18,617</w:t>
            </w:r>
          </w:p>
        </w:tc>
      </w:tr>
      <w:tr>
        <w:trPr>
          <w:trHeight w:val="240"/>
        </w:trPr>
        <w:tc>
          <w:tcPr>
            <w:tcW w:w="3220" w:type="dxa"/>
            <w:vAlign w:val="bottom"/>
          </w:tcPr>
          <w:p>
            <w:pPr>
              <w:ind w:left="40"/>
              <w:spacing w:after="0"/>
              <w:rPr>
                <w:sz w:val="20"/>
                <w:szCs w:val="20"/>
                <w:color w:val="auto"/>
              </w:rPr>
            </w:pPr>
            <w:r>
              <w:rPr>
                <w:rFonts w:ascii="Arial" w:cs="Arial" w:eastAsia="Arial" w:hAnsi="Arial"/>
                <w:sz w:val="16"/>
                <w:szCs w:val="16"/>
                <w:color w:val="auto"/>
              </w:rPr>
              <w:t>Total lease liabilities</w:t>
            </w:r>
          </w:p>
        </w:tc>
        <w:tc>
          <w:tcPr>
            <w:tcW w:w="5780" w:type="dxa"/>
            <w:vAlign w:val="bottom"/>
          </w:tcPr>
          <w:p>
            <w:pPr>
              <w:spacing w:after="0"/>
              <w:rPr>
                <w:sz w:val="20"/>
                <w:szCs w:val="20"/>
                <w:color w:val="auto"/>
              </w:rPr>
            </w:pPr>
          </w:p>
        </w:tc>
        <w:tc>
          <w:tcPr>
            <w:tcW w:w="8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197,407</w:t>
            </w:r>
          </w:p>
        </w:tc>
      </w:tr>
      <w:tr>
        <w:trPr>
          <w:trHeight w:val="20"/>
        </w:trPr>
        <w:tc>
          <w:tcPr>
            <w:tcW w:w="32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544" w:right="3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8"/>
          <w:szCs w:val="18"/>
          <w:color w:val="auto"/>
        </w:rPr>
        <w:t>The following table represents the lease expenses for the year ended June 30,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24"/>
              <w:spacing w:after="0"/>
              <w:rPr>
                <w:sz w:val="20"/>
                <w:szCs w:val="20"/>
                <w:color w:val="auto"/>
              </w:rPr>
            </w:pPr>
            <w:r>
              <w:rPr>
                <w:rFonts w:ascii="Arial" w:cs="Arial" w:eastAsia="Arial" w:hAnsi="Arial"/>
                <w:sz w:val="13"/>
                <w:szCs w:val="13"/>
                <w:b w:val="1"/>
                <w:bCs w:val="1"/>
                <w:color w:val="auto"/>
              </w:rPr>
              <w:t>Year Ended</w:t>
            </w:r>
          </w:p>
        </w:tc>
      </w:tr>
      <w:tr>
        <w:trPr>
          <w:trHeight w:val="279"/>
        </w:trPr>
        <w:tc>
          <w:tcPr>
            <w:tcW w:w="95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June 30, 2020</w:t>
            </w:r>
          </w:p>
        </w:tc>
      </w:tr>
      <w:tr>
        <w:trPr>
          <w:trHeight w:val="257"/>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43,058</w:t>
            </w:r>
          </w:p>
        </w:tc>
      </w:tr>
      <w:tr>
        <w:trPr>
          <w:trHeight w:val="260"/>
        </w:trPr>
        <w:tc>
          <w:tcPr>
            <w:tcW w:w="9560" w:type="dxa"/>
            <w:vAlign w:val="bottom"/>
          </w:tcPr>
          <w:p>
            <w:pPr>
              <w:ind w:left="40"/>
              <w:spacing w:after="0"/>
              <w:rPr>
                <w:sz w:val="20"/>
                <w:szCs w:val="20"/>
                <w:color w:val="auto"/>
              </w:rPr>
            </w:pPr>
            <w:r>
              <w:rPr>
                <w:rFonts w:ascii="Arial" w:cs="Arial" w:eastAsia="Arial" w:hAnsi="Arial"/>
                <w:sz w:val="16"/>
                <w:szCs w:val="16"/>
                <w:color w:val="auto"/>
              </w:rPr>
              <w:t>Finance lease expense:</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9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finance lease assets</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5,766</w:t>
            </w:r>
          </w:p>
        </w:tc>
      </w:tr>
      <w:tr>
        <w:trPr>
          <w:trHeight w:val="260"/>
        </w:trPr>
        <w:tc>
          <w:tcPr>
            <w:tcW w:w="9560" w:type="dxa"/>
            <w:vAlign w:val="bottom"/>
          </w:tcPr>
          <w:p>
            <w:pPr>
              <w:ind w:left="220"/>
              <w:spacing w:after="0"/>
              <w:rPr>
                <w:sz w:val="20"/>
                <w:szCs w:val="20"/>
                <w:color w:val="auto"/>
              </w:rPr>
            </w:pPr>
            <w:r>
              <w:rPr>
                <w:rFonts w:ascii="Arial" w:cs="Arial" w:eastAsia="Arial" w:hAnsi="Arial"/>
                <w:sz w:val="16"/>
                <w:szCs w:val="16"/>
                <w:color w:val="auto"/>
              </w:rPr>
              <w:t>Interest on lease liabilities</w:t>
            </w:r>
          </w:p>
        </w:tc>
        <w:tc>
          <w:tcPr>
            <w:tcW w:w="260" w:type="dxa"/>
            <w:vAlign w:val="bottom"/>
          </w:tcPr>
          <w:p>
            <w:pPr>
              <w:spacing w:after="0"/>
              <w:rPr>
                <w:sz w:val="22"/>
                <w:szCs w:val="22"/>
                <w:color w:val="auto"/>
              </w:rPr>
            </w:pPr>
          </w:p>
        </w:tc>
        <w:tc>
          <w:tcPr>
            <w:tcW w:w="1420" w:type="dxa"/>
            <w:vAlign w:val="bottom"/>
          </w:tcPr>
          <w:p>
            <w:pPr>
              <w:jc w:val="right"/>
              <w:ind w:right="24"/>
              <w:spacing w:after="0"/>
              <w:rPr>
                <w:sz w:val="20"/>
                <w:szCs w:val="20"/>
                <w:color w:val="auto"/>
              </w:rPr>
            </w:pPr>
            <w:r>
              <w:rPr>
                <w:rFonts w:ascii="Arial" w:cs="Arial" w:eastAsia="Arial" w:hAnsi="Arial"/>
                <w:sz w:val="16"/>
                <w:szCs w:val="16"/>
                <w:color w:val="auto"/>
              </w:rPr>
              <w:t>698</w:t>
            </w:r>
          </w:p>
        </w:tc>
      </w:tr>
      <w:tr>
        <w:trPr>
          <w:trHeight w:val="280"/>
        </w:trPr>
        <w:tc>
          <w:tcPr>
            <w:tcW w:w="9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Variable lease expense</w:t>
            </w: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10,775</w:t>
            </w:r>
          </w:p>
        </w:tc>
      </w:tr>
      <w:tr>
        <w:trPr>
          <w:trHeight w:val="263"/>
        </w:trPr>
        <w:tc>
          <w:tcPr>
            <w:tcW w:w="9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sublease income</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r>
      <w:tr>
        <w:trPr>
          <w:trHeight w:val="240"/>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and finance lease cost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56,752</w:t>
            </w:r>
          </w:p>
        </w:tc>
      </w:tr>
      <w:tr>
        <w:trPr>
          <w:trHeight w:val="20"/>
        </w:trPr>
        <w:tc>
          <w:tcPr>
            <w:tcW w:w="9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leases as of June 30, 2020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00" w:type="dxa"/>
            <w:vAlign w:val="bottom"/>
          </w:tcPr>
          <w:p>
            <w:pPr>
              <w:ind w:left="40"/>
              <w:spacing w:after="0"/>
              <w:rPr>
                <w:sz w:val="20"/>
                <w:szCs w:val="20"/>
                <w:color w:val="auto"/>
              </w:rPr>
            </w:pPr>
            <w:r>
              <w:rPr>
                <w:rFonts w:ascii="Arial" w:cs="Arial" w:eastAsia="Arial" w:hAnsi="Arial"/>
                <w:sz w:val="13"/>
                <w:szCs w:val="13"/>
                <w:b w:val="1"/>
                <w:bCs w:val="1"/>
                <w:color w:val="auto"/>
              </w:rPr>
              <w:t>Payments Due by Period</w:t>
            </w:r>
          </w:p>
        </w:tc>
        <w:tc>
          <w:tcPr>
            <w:tcW w:w="120" w:type="dxa"/>
            <w:vAlign w:val="bottom"/>
          </w:tcPr>
          <w:p>
            <w:pPr>
              <w:spacing w:after="0"/>
              <w:rPr>
                <w:sz w:val="14"/>
                <w:szCs w:val="14"/>
                <w:color w:val="auto"/>
              </w:rPr>
            </w:pPr>
          </w:p>
        </w:tc>
        <w:tc>
          <w:tcPr>
            <w:tcW w:w="1900" w:type="dxa"/>
            <w:vAlign w:val="bottom"/>
            <w:gridSpan w:val="2"/>
          </w:tcPr>
          <w:p>
            <w:pPr>
              <w:ind w:left="20"/>
              <w:spacing w:after="0"/>
              <w:rPr>
                <w:sz w:val="20"/>
                <w:szCs w:val="20"/>
                <w:color w:val="auto"/>
              </w:rPr>
            </w:pPr>
            <w:r>
              <w:rPr>
                <w:rFonts w:ascii="Arial" w:cs="Arial" w:eastAsia="Arial" w:hAnsi="Arial"/>
                <w:sz w:val="13"/>
                <w:szCs w:val="13"/>
                <w:b w:val="1"/>
                <w:bCs w:val="1"/>
                <w:color w:val="auto"/>
              </w:rPr>
              <w:t>Operating lease obligations</w:t>
            </w:r>
          </w:p>
        </w:tc>
        <w:tc>
          <w:tcPr>
            <w:tcW w:w="16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Arial" w:cs="Arial" w:eastAsia="Arial" w:hAnsi="Arial"/>
                <w:sz w:val="13"/>
                <w:szCs w:val="13"/>
                <w:b w:val="1"/>
                <w:bCs w:val="1"/>
                <w:color w:val="auto"/>
              </w:rPr>
              <w:t>Finance lease obligations</w:t>
            </w:r>
          </w:p>
        </w:tc>
        <w:tc>
          <w:tcPr>
            <w:tcW w:w="200" w:type="dxa"/>
            <w:vAlign w:val="bottom"/>
          </w:tcPr>
          <w:p>
            <w:pPr>
              <w:spacing w:after="0"/>
              <w:rPr>
                <w:sz w:val="14"/>
                <w:szCs w:val="14"/>
                <w:color w:val="auto"/>
              </w:rPr>
            </w:pPr>
          </w:p>
        </w:tc>
        <w:tc>
          <w:tcPr>
            <w:tcW w:w="1700" w:type="dxa"/>
            <w:vAlign w:val="bottom"/>
          </w:tcPr>
          <w:p>
            <w:pPr>
              <w:jc w:val="right"/>
              <w:ind w:right="201"/>
              <w:spacing w:after="0"/>
              <w:rPr>
                <w:sz w:val="20"/>
                <w:szCs w:val="20"/>
                <w:color w:val="auto"/>
              </w:rPr>
            </w:pPr>
            <w:r>
              <w:rPr>
                <w:rFonts w:ascii="Arial" w:cs="Arial" w:eastAsia="Arial" w:hAnsi="Arial"/>
                <w:sz w:val="13"/>
                <w:szCs w:val="13"/>
                <w:b w:val="1"/>
                <w:bCs w:val="1"/>
                <w:color w:val="auto"/>
                <w:w w:val="99"/>
              </w:rPr>
              <w:t>Total lease obligations</w:t>
            </w:r>
          </w:p>
        </w:tc>
      </w:tr>
      <w:tr>
        <w:trPr>
          <w:trHeight w:val="56"/>
        </w:trPr>
        <w:tc>
          <w:tcPr>
            <w:tcW w:w="5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5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than 1 year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42,320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8,031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50,351</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2 years</w:t>
            </w:r>
          </w:p>
        </w:tc>
        <w:tc>
          <w:tcPr>
            <w:tcW w:w="120" w:type="dxa"/>
            <w:vAlign w:val="bottom"/>
          </w:tcPr>
          <w:p>
            <w:pPr>
              <w:spacing w:after="0"/>
              <w:rPr>
                <w:sz w:val="22"/>
                <w:szCs w:val="22"/>
                <w:color w:val="auto"/>
              </w:rPr>
            </w:pPr>
          </w:p>
        </w:tc>
        <w:tc>
          <w:tcPr>
            <w:tcW w:w="1800" w:type="dxa"/>
            <w:vAlign w:val="bottom"/>
          </w:tcPr>
          <w:p>
            <w:pPr>
              <w:jc w:val="right"/>
              <w:ind w:right="41"/>
              <w:spacing w:after="0"/>
              <w:rPr>
                <w:sz w:val="20"/>
                <w:szCs w:val="20"/>
                <w:color w:val="auto"/>
              </w:rPr>
            </w:pPr>
            <w:r>
              <w:rPr>
                <w:rFonts w:ascii="Arial" w:cs="Arial" w:eastAsia="Arial" w:hAnsi="Arial"/>
                <w:sz w:val="16"/>
                <w:szCs w:val="16"/>
                <w:color w:val="auto"/>
              </w:rPr>
              <w:t>34,306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7,606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41,912</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3 years</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27,663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32,805</w:t>
            </w:r>
          </w:p>
        </w:tc>
      </w:tr>
      <w:tr>
        <w:trPr>
          <w:trHeight w:val="260"/>
        </w:trPr>
        <w:tc>
          <w:tcPr>
            <w:tcW w:w="5300" w:type="dxa"/>
            <w:vAlign w:val="bottom"/>
          </w:tcPr>
          <w:p>
            <w:pPr>
              <w:ind w:left="40"/>
              <w:spacing w:after="0"/>
              <w:rPr>
                <w:sz w:val="20"/>
                <w:szCs w:val="20"/>
                <w:color w:val="auto"/>
              </w:rPr>
            </w:pPr>
            <w:r>
              <w:rPr>
                <w:rFonts w:ascii="Arial" w:cs="Arial" w:eastAsia="Arial" w:hAnsi="Arial"/>
                <w:sz w:val="16"/>
                <w:szCs w:val="16"/>
                <w:color w:val="auto"/>
              </w:rPr>
              <w:t>4 years</w:t>
            </w:r>
          </w:p>
        </w:tc>
        <w:tc>
          <w:tcPr>
            <w:tcW w:w="120" w:type="dxa"/>
            <w:vAlign w:val="bottom"/>
          </w:tcPr>
          <w:p>
            <w:pPr>
              <w:spacing w:after="0"/>
              <w:rPr>
                <w:sz w:val="22"/>
                <w:szCs w:val="22"/>
                <w:color w:val="auto"/>
              </w:rPr>
            </w:pPr>
          </w:p>
        </w:tc>
        <w:tc>
          <w:tcPr>
            <w:tcW w:w="1800" w:type="dxa"/>
            <w:vAlign w:val="bottom"/>
          </w:tcPr>
          <w:p>
            <w:pPr>
              <w:jc w:val="right"/>
              <w:ind w:right="41"/>
              <w:spacing w:after="0"/>
              <w:rPr>
                <w:sz w:val="20"/>
                <w:szCs w:val="20"/>
                <w:color w:val="auto"/>
              </w:rPr>
            </w:pPr>
            <w:r>
              <w:rPr>
                <w:rFonts w:ascii="Arial" w:cs="Arial" w:eastAsia="Arial" w:hAnsi="Arial"/>
                <w:sz w:val="16"/>
                <w:szCs w:val="16"/>
                <w:color w:val="auto"/>
              </w:rPr>
              <w:t>22,606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21"/>
              <w:spacing w:after="0"/>
              <w:rPr>
                <w:sz w:val="20"/>
                <w:szCs w:val="20"/>
                <w:color w:val="auto"/>
              </w:rPr>
            </w:pPr>
            <w:r>
              <w:rPr>
                <w:rFonts w:ascii="Arial" w:cs="Arial" w:eastAsia="Arial" w:hAnsi="Arial"/>
                <w:sz w:val="16"/>
                <w:szCs w:val="16"/>
                <w:color w:val="auto"/>
              </w:rPr>
              <w:t>3,277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25,883</w:t>
            </w:r>
          </w:p>
        </w:tc>
      </w:tr>
      <w:tr>
        <w:trPr>
          <w:trHeight w:val="28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16,511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18,432</w:t>
            </w:r>
          </w:p>
        </w:tc>
      </w:tr>
      <w:tr>
        <w:trPr>
          <w:trHeight w:val="263"/>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43,089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1,796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44,885</w:t>
            </w: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186,495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27,773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214,268</w:t>
            </w:r>
          </w:p>
        </w:tc>
      </w:tr>
      <w:tr>
        <w:trPr>
          <w:trHeight w:val="263"/>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present value discount</w:t>
            </w: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(16,861)</w:t>
            </w:r>
          </w:p>
        </w:tc>
      </w:tr>
      <w:tr>
        <w:trPr>
          <w:trHeight w:val="24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170,735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26,672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197,407</w:t>
            </w: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As previously disclosed in our 2019 Annual Report on Form 10-K and under the previous lease accounting standard, the following is a summary of future minimum lease payments under non-cancelable leases and build-to-suit arrangements as of June 30,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lease obligations</w:t>
            </w:r>
          </w:p>
        </w:tc>
        <w:tc>
          <w:tcPr>
            <w:tcW w:w="240" w:type="dxa"/>
            <w:vAlign w:val="bottom"/>
          </w:tcPr>
          <w:p>
            <w:pPr>
              <w:spacing w:after="0"/>
              <w:rPr>
                <w:sz w:val="12"/>
                <w:szCs w:val="12"/>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Build-to-suit lease</w:t>
            </w:r>
          </w:p>
        </w:tc>
        <w:tc>
          <w:tcPr>
            <w:tcW w:w="140" w:type="dxa"/>
            <w:vAlign w:val="bottom"/>
          </w:tcPr>
          <w:p>
            <w:pPr>
              <w:spacing w:after="0"/>
              <w:rPr>
                <w:sz w:val="12"/>
                <w:szCs w:val="12"/>
                <w:color w:val="auto"/>
              </w:rPr>
            </w:pPr>
          </w:p>
        </w:tc>
        <w:tc>
          <w:tcPr>
            <w:tcW w:w="1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Finance lease obligations</w:t>
            </w:r>
          </w:p>
        </w:tc>
        <w:tc>
          <w:tcPr>
            <w:tcW w:w="200" w:type="dxa"/>
            <w:vAlign w:val="bottom"/>
          </w:tcPr>
          <w:p>
            <w:pPr>
              <w:spacing w:after="0"/>
              <w:rPr>
                <w:sz w:val="12"/>
                <w:szCs w:val="12"/>
                <w:color w:val="auto"/>
              </w:rPr>
            </w:pPr>
          </w:p>
        </w:tc>
        <w:tc>
          <w:tcPr>
            <w:tcW w:w="1700" w:type="dxa"/>
            <w:vAlign w:val="bottom"/>
            <w:vMerge w:val="restart"/>
          </w:tcPr>
          <w:p>
            <w:pPr>
              <w:jc w:val="right"/>
              <w:ind w:right="201"/>
              <w:spacing w:after="0"/>
              <w:rPr>
                <w:sz w:val="20"/>
                <w:szCs w:val="20"/>
                <w:color w:val="auto"/>
              </w:rPr>
            </w:pPr>
            <w:r>
              <w:rPr>
                <w:rFonts w:ascii="Arial" w:cs="Arial" w:eastAsia="Arial" w:hAnsi="Arial"/>
                <w:sz w:val="13"/>
                <w:szCs w:val="13"/>
                <w:b w:val="1"/>
                <w:bCs w:val="1"/>
                <w:color w:val="auto"/>
                <w:w w:val="99"/>
              </w:rPr>
              <w:t>Total lease obligations</w:t>
            </w:r>
          </w:p>
        </w:tc>
        <w:tc>
          <w:tcPr>
            <w:tcW w:w="0" w:type="dxa"/>
            <w:vAlign w:val="bottom"/>
          </w:tcPr>
          <w:p>
            <w:pPr>
              <w:spacing w:after="0"/>
              <w:rPr>
                <w:sz w:val="1"/>
                <w:szCs w:val="1"/>
                <w:color w:val="auto"/>
              </w:rPr>
            </w:pPr>
          </w:p>
        </w:tc>
      </w:tr>
      <w:tr>
        <w:trPr>
          <w:trHeight w:val="100"/>
        </w:trPr>
        <w:tc>
          <w:tcPr>
            <w:tcW w:w="3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6"/>
              </w:rPr>
              <w:t>obligations (1)</w:t>
            </w:r>
          </w:p>
        </w:tc>
        <w:tc>
          <w:tcPr>
            <w:tcW w:w="14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30,269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13,482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11,468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55,219</w:t>
            </w:r>
          </w:p>
        </w:tc>
        <w:tc>
          <w:tcPr>
            <w:tcW w:w="0" w:type="dxa"/>
            <w:vAlign w:val="bottom"/>
          </w:tcPr>
          <w:p>
            <w:pPr>
              <w:spacing w:after="0"/>
              <w:rPr>
                <w:sz w:val="1"/>
                <w:szCs w:val="1"/>
                <w:color w:val="auto"/>
              </w:rPr>
            </w:pPr>
          </w:p>
        </w:tc>
      </w:tr>
      <w:tr>
        <w:trPr>
          <w:trHeight w:val="260"/>
        </w:trPr>
        <w:tc>
          <w:tcPr>
            <w:tcW w:w="3360" w:type="dxa"/>
            <w:vAlign w:val="bottom"/>
          </w:tcPr>
          <w:p>
            <w:pPr>
              <w:ind w:left="40"/>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22"/>
                <w:szCs w:val="22"/>
                <w:color w:val="auto"/>
              </w:rPr>
            </w:pPr>
          </w:p>
        </w:tc>
        <w:tc>
          <w:tcPr>
            <w:tcW w:w="1780" w:type="dxa"/>
            <w:vAlign w:val="bottom"/>
          </w:tcPr>
          <w:p>
            <w:pPr>
              <w:jc w:val="right"/>
              <w:ind w:right="41"/>
              <w:spacing w:after="0"/>
              <w:rPr>
                <w:sz w:val="20"/>
                <w:szCs w:val="20"/>
                <w:color w:val="auto"/>
              </w:rPr>
            </w:pPr>
            <w:r>
              <w:rPr>
                <w:rFonts w:ascii="Arial" w:cs="Arial" w:eastAsia="Arial" w:hAnsi="Arial"/>
                <w:sz w:val="16"/>
                <w:szCs w:val="16"/>
                <w:color w:val="auto"/>
              </w:rPr>
              <w:t>22,849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
              <w:spacing w:after="0"/>
              <w:rPr>
                <w:sz w:val="20"/>
                <w:szCs w:val="20"/>
                <w:color w:val="auto"/>
              </w:rPr>
            </w:pPr>
            <w:r>
              <w:rPr>
                <w:rFonts w:ascii="Arial" w:cs="Arial" w:eastAsia="Arial" w:hAnsi="Arial"/>
                <w:sz w:val="16"/>
                <w:szCs w:val="16"/>
                <w:color w:val="auto"/>
              </w:rPr>
              <w:t>13,836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jc w:val="right"/>
              <w:ind w:right="41"/>
              <w:spacing w:after="0"/>
              <w:rPr>
                <w:sz w:val="20"/>
                <w:szCs w:val="20"/>
                <w:color w:val="auto"/>
              </w:rPr>
            </w:pPr>
            <w:r>
              <w:rPr>
                <w:rFonts w:ascii="Arial" w:cs="Arial" w:eastAsia="Arial" w:hAnsi="Arial"/>
                <w:sz w:val="16"/>
                <w:szCs w:val="16"/>
                <w:color w:val="auto"/>
              </w:rPr>
              <w:t>6,414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43,099</w:t>
            </w:r>
          </w:p>
        </w:tc>
        <w:tc>
          <w:tcPr>
            <w:tcW w:w="0" w:type="dxa"/>
            <w:vAlign w:val="bottom"/>
          </w:tcPr>
          <w:p>
            <w:pPr>
              <w:spacing w:after="0"/>
              <w:rPr>
                <w:sz w:val="1"/>
                <w:szCs w:val="1"/>
                <w:color w:val="auto"/>
              </w:rPr>
            </w:pPr>
          </w:p>
        </w:tc>
      </w:tr>
      <w:tr>
        <w:trPr>
          <w:trHeight w:val="280"/>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16,592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13,877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34,193</w:t>
            </w:r>
          </w:p>
        </w:tc>
        <w:tc>
          <w:tcPr>
            <w:tcW w:w="0" w:type="dxa"/>
            <w:vAlign w:val="bottom"/>
          </w:tcPr>
          <w:p>
            <w:pPr>
              <w:spacing w:after="0"/>
              <w:rPr>
                <w:sz w:val="1"/>
                <w:szCs w:val="1"/>
                <w:color w:val="auto"/>
              </w:rPr>
            </w:pPr>
          </w:p>
        </w:tc>
      </w:tr>
      <w:tr>
        <w:trPr>
          <w:trHeight w:val="260"/>
        </w:trPr>
        <w:tc>
          <w:tcPr>
            <w:tcW w:w="3360" w:type="dxa"/>
            <w:vAlign w:val="bottom"/>
          </w:tcPr>
          <w:p>
            <w:pPr>
              <w:ind w:left="4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2"/>
                <w:szCs w:val="22"/>
                <w:color w:val="auto"/>
              </w:rPr>
            </w:pPr>
          </w:p>
        </w:tc>
        <w:tc>
          <w:tcPr>
            <w:tcW w:w="1780" w:type="dxa"/>
            <w:vAlign w:val="bottom"/>
          </w:tcPr>
          <w:p>
            <w:pPr>
              <w:jc w:val="right"/>
              <w:ind w:right="41"/>
              <w:spacing w:after="0"/>
              <w:rPr>
                <w:sz w:val="20"/>
                <w:szCs w:val="20"/>
                <w:color w:val="auto"/>
              </w:rPr>
            </w:pPr>
            <w:r>
              <w:rPr>
                <w:rFonts w:ascii="Arial" w:cs="Arial" w:eastAsia="Arial" w:hAnsi="Arial"/>
                <w:sz w:val="16"/>
                <w:szCs w:val="16"/>
                <w:color w:val="auto"/>
              </w:rPr>
              <w:t>12,553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jc w:val="right"/>
              <w:ind w:right="23"/>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jc w:val="right"/>
              <w:ind w:right="41"/>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1"/>
              <w:spacing w:after="0"/>
              <w:rPr>
                <w:sz w:val="20"/>
                <w:szCs w:val="20"/>
                <w:color w:val="auto"/>
              </w:rPr>
            </w:pPr>
            <w:r>
              <w:rPr>
                <w:rFonts w:ascii="Arial" w:cs="Arial" w:eastAsia="Arial" w:hAnsi="Arial"/>
                <w:sz w:val="16"/>
                <w:szCs w:val="16"/>
                <w:color w:val="auto"/>
              </w:rPr>
              <w:t>27,523</w:t>
            </w:r>
          </w:p>
        </w:tc>
        <w:tc>
          <w:tcPr>
            <w:tcW w:w="0" w:type="dxa"/>
            <w:vAlign w:val="bottom"/>
          </w:tcPr>
          <w:p>
            <w:pPr>
              <w:spacing w:after="0"/>
              <w:rPr>
                <w:sz w:val="1"/>
                <w:szCs w:val="1"/>
                <w:color w:val="auto"/>
              </w:rPr>
            </w:pPr>
          </w:p>
        </w:tc>
      </w:tr>
      <w:tr>
        <w:trPr>
          <w:trHeight w:val="280"/>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12,163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22,760</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40,656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51,397</w:t>
            </w:r>
          </w:p>
        </w:tc>
        <w:tc>
          <w:tcPr>
            <w:tcW w:w="0" w:type="dxa"/>
            <w:vAlign w:val="bottom"/>
          </w:tcPr>
          <w:p>
            <w:pPr>
              <w:spacing w:after="0"/>
              <w:rPr>
                <w:sz w:val="1"/>
                <w:szCs w:val="1"/>
                <w:color w:val="auto"/>
              </w:rPr>
            </w:pPr>
          </w:p>
        </w:tc>
      </w:tr>
      <w:tr>
        <w:trPr>
          <w:trHeight w:val="24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99,633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106,440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28,118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234,191</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3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(1) Build-to-suit minimum payments at June 30, 2019 related to our Waltham, MA and Dallas, TX leases, refer to Note 2 for additional details.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about leases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Lease Term and Discount Rate</w:t>
            </w:r>
          </w:p>
        </w:tc>
        <w:tc>
          <w:tcPr>
            <w:tcW w:w="4620" w:type="dxa"/>
            <w:vAlign w:val="bottom"/>
            <w:tcBorders>
              <w:bottom w:val="single" w:sz="8" w:color="auto"/>
            </w:tcBorders>
          </w:tcPr>
          <w:p>
            <w:pPr>
              <w:ind w:left="3060"/>
              <w:spacing w:after="0"/>
              <w:rPr>
                <w:sz w:val="20"/>
                <w:szCs w:val="20"/>
                <w:color w:val="auto"/>
              </w:rPr>
            </w:pPr>
            <w:r>
              <w:rPr>
                <w:rFonts w:ascii="Arial" w:cs="Arial" w:eastAsia="Arial" w:hAnsi="Arial"/>
                <w:sz w:val="13"/>
                <w:szCs w:val="13"/>
                <w:b w:val="1"/>
                <w:bCs w:val="1"/>
                <w:color w:val="auto"/>
              </w:rPr>
              <w:t>June 30, 2020</w:t>
            </w:r>
          </w:p>
        </w:tc>
      </w:tr>
      <w:tr>
        <w:trPr>
          <w:trHeight w:val="260"/>
        </w:trPr>
        <w:tc>
          <w:tcPr>
            <w:tcW w:w="6560" w:type="dxa"/>
            <w:vAlign w:val="bottom"/>
          </w:tcPr>
          <w:p>
            <w:pPr>
              <w:ind w:left="40"/>
              <w:spacing w:after="0"/>
              <w:rPr>
                <w:sz w:val="20"/>
                <w:szCs w:val="20"/>
                <w:color w:val="auto"/>
              </w:rPr>
            </w:pPr>
            <w:r>
              <w:rPr>
                <w:rFonts w:ascii="Arial" w:cs="Arial" w:eastAsia="Arial" w:hAnsi="Arial"/>
                <w:sz w:val="16"/>
                <w:szCs w:val="16"/>
                <w:color w:val="auto"/>
              </w:rPr>
              <w:t>Weighted-average remaining lease term (years):</w:t>
            </w:r>
          </w:p>
        </w:tc>
        <w:tc>
          <w:tcPr>
            <w:tcW w:w="4620" w:type="dxa"/>
            <w:vAlign w:val="bottom"/>
          </w:tcPr>
          <w:p>
            <w:pPr>
              <w:spacing w:after="0"/>
              <w:rPr>
                <w:sz w:val="22"/>
                <w:szCs w:val="22"/>
                <w:color w:val="auto"/>
              </w:rPr>
            </w:pPr>
          </w:p>
        </w:tc>
      </w:tr>
      <w:tr>
        <w:trPr>
          <w:trHeight w:val="280"/>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leases</w:t>
            </w:r>
          </w:p>
        </w:tc>
        <w:tc>
          <w:tcPr>
            <w:tcW w:w="4620" w:type="dxa"/>
            <w:vAlign w:val="bottom"/>
            <w:shd w:val="clear" w:color="auto" w:fill="CCEEFF"/>
          </w:tcPr>
          <w:p>
            <w:pPr>
              <w:ind w:left="4140"/>
              <w:spacing w:after="0"/>
              <w:rPr>
                <w:sz w:val="20"/>
                <w:szCs w:val="20"/>
                <w:color w:val="auto"/>
              </w:rPr>
            </w:pPr>
            <w:r>
              <w:rPr>
                <w:rFonts w:ascii="Arial" w:cs="Arial" w:eastAsia="Arial" w:hAnsi="Arial"/>
                <w:sz w:val="16"/>
                <w:szCs w:val="16"/>
                <w:color w:val="auto"/>
              </w:rPr>
              <w:t>6.18</w:t>
            </w:r>
          </w:p>
        </w:tc>
      </w:tr>
      <w:tr>
        <w:trPr>
          <w:trHeight w:val="260"/>
        </w:trPr>
        <w:tc>
          <w:tcPr>
            <w:tcW w:w="6560" w:type="dxa"/>
            <w:vAlign w:val="bottom"/>
          </w:tcPr>
          <w:p>
            <w:pPr>
              <w:ind w:left="220"/>
              <w:spacing w:after="0"/>
              <w:rPr>
                <w:sz w:val="20"/>
                <w:szCs w:val="20"/>
                <w:color w:val="auto"/>
              </w:rPr>
            </w:pPr>
            <w:r>
              <w:rPr>
                <w:rFonts w:ascii="Arial" w:cs="Arial" w:eastAsia="Arial" w:hAnsi="Arial"/>
                <w:sz w:val="16"/>
                <w:szCs w:val="16"/>
                <w:color w:val="auto"/>
              </w:rPr>
              <w:t>Finance leases</w:t>
            </w:r>
          </w:p>
        </w:tc>
        <w:tc>
          <w:tcPr>
            <w:tcW w:w="4620" w:type="dxa"/>
            <w:vAlign w:val="bottom"/>
          </w:tcPr>
          <w:p>
            <w:pPr>
              <w:ind w:left="4140"/>
              <w:spacing w:after="0"/>
              <w:rPr>
                <w:sz w:val="20"/>
                <w:szCs w:val="20"/>
                <w:color w:val="auto"/>
              </w:rPr>
            </w:pPr>
            <w:r>
              <w:rPr>
                <w:rFonts w:ascii="Arial" w:cs="Arial" w:eastAsia="Arial" w:hAnsi="Arial"/>
                <w:sz w:val="16"/>
                <w:szCs w:val="16"/>
                <w:color w:val="auto"/>
              </w:rPr>
              <w:t>4.61</w:t>
            </w:r>
          </w:p>
        </w:tc>
      </w:tr>
      <w:tr>
        <w:trPr>
          <w:trHeight w:val="280"/>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discount rate:</w:t>
            </w:r>
          </w:p>
        </w:tc>
        <w:tc>
          <w:tcPr>
            <w:tcW w:w="4620" w:type="dxa"/>
            <w:vAlign w:val="bottom"/>
            <w:shd w:val="clear" w:color="auto" w:fill="CCEEFF"/>
          </w:tcPr>
          <w:p>
            <w:pPr>
              <w:spacing w:after="0"/>
              <w:rPr>
                <w:sz w:val="24"/>
                <w:szCs w:val="24"/>
                <w:color w:val="auto"/>
              </w:rPr>
            </w:pPr>
          </w:p>
        </w:tc>
      </w:tr>
      <w:tr>
        <w:trPr>
          <w:trHeight w:val="260"/>
        </w:trPr>
        <w:tc>
          <w:tcPr>
            <w:tcW w:w="656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4620" w:type="dxa"/>
            <w:vAlign w:val="bottom"/>
          </w:tcPr>
          <w:p>
            <w:pPr>
              <w:ind w:left="4140"/>
              <w:spacing w:after="0"/>
              <w:rPr>
                <w:sz w:val="20"/>
                <w:szCs w:val="20"/>
                <w:color w:val="auto"/>
              </w:rPr>
            </w:pPr>
            <w:r>
              <w:rPr>
                <w:rFonts w:ascii="Arial" w:cs="Arial" w:eastAsia="Arial" w:hAnsi="Arial"/>
                <w:sz w:val="16"/>
                <w:szCs w:val="16"/>
                <w:color w:val="auto"/>
              </w:rPr>
              <w:t>2.83%</w:t>
            </w:r>
          </w:p>
        </w:tc>
      </w:tr>
      <w:tr>
        <w:trPr>
          <w:trHeight w:val="280"/>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leases</w:t>
            </w:r>
          </w:p>
        </w:tc>
        <w:tc>
          <w:tcPr>
            <w:tcW w:w="4620" w:type="dxa"/>
            <w:vAlign w:val="bottom"/>
            <w:shd w:val="clear" w:color="auto" w:fill="CCEEFF"/>
          </w:tcPr>
          <w:p>
            <w:pPr>
              <w:ind w:left="4140"/>
              <w:spacing w:after="0"/>
              <w:rPr>
                <w:sz w:val="20"/>
                <w:szCs w:val="20"/>
                <w:color w:val="auto"/>
              </w:rPr>
            </w:pPr>
            <w:r>
              <w:rPr>
                <w:rFonts w:ascii="Arial" w:cs="Arial" w:eastAsia="Arial" w:hAnsi="Arial"/>
                <w:sz w:val="16"/>
                <w:szCs w:val="16"/>
                <w:color w:val="auto"/>
              </w:rPr>
              <w:t>2.62%</w:t>
            </w:r>
          </w:p>
        </w:tc>
      </w:tr>
    </w:tbl>
    <w:p>
      <w:pPr>
        <w:spacing w:after="0" w:line="200" w:lineRule="exact"/>
        <w:rPr>
          <w:sz w:val="20"/>
          <w:szCs w:val="20"/>
          <w:color w:val="auto"/>
        </w:rPr>
      </w:pP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240"/>
          </w:cols>
          <w:pgMar w:left="320" w:top="544" w:right="339" w:bottom="1440" w:gutter="0" w:footer="0" w:header="0"/>
          <w:type w:val="continuous"/>
        </w:sectPr>
      </w:pPr>
    </w:p>
    <w:bookmarkStart w:id="112" w:name="page113"/>
    <w:bookmarkEnd w:id="112"/>
    <w:p>
      <w:pPr>
        <w:ind w:right="440" w:firstLine="648"/>
        <w:spacing w:after="0" w:line="261" w:lineRule="auto"/>
        <w:rPr>
          <w:sz w:val="20"/>
          <w:szCs w:val="20"/>
          <w:color w:val="auto"/>
        </w:rPr>
      </w:pPr>
      <w:r>
        <w:rPr>
          <w:rFonts w:ascii="Arial" w:cs="Arial" w:eastAsia="Arial" w:hAnsi="Arial"/>
          <w:sz w:val="18"/>
          <w:szCs w:val="18"/>
          <w:color w:val="auto"/>
        </w:rPr>
        <w:t>Our leases have remaining lease terms of 1 year to 15 years, inclusive of renewal or termination options that we are reasonably certain to exercise.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40" w:type="dxa"/>
            <w:vAlign w:val="bottom"/>
          </w:tcPr>
          <w:p>
            <w:pPr>
              <w:jc w:val="right"/>
              <w:ind w:right="706"/>
              <w:spacing w:after="0"/>
              <w:rPr>
                <w:sz w:val="20"/>
                <w:szCs w:val="20"/>
                <w:color w:val="auto"/>
              </w:rPr>
            </w:pPr>
            <w:r>
              <w:rPr>
                <w:rFonts w:ascii="Arial" w:cs="Arial" w:eastAsia="Arial" w:hAnsi="Arial"/>
                <w:sz w:val="13"/>
                <w:szCs w:val="13"/>
                <w:b w:val="1"/>
                <w:bCs w:val="1"/>
                <w:color w:val="auto"/>
              </w:rPr>
              <w:t>Year Ended</w:t>
            </w:r>
          </w:p>
        </w:tc>
      </w:tr>
      <w:tr>
        <w:trPr>
          <w:trHeight w:val="280"/>
        </w:trPr>
        <w:tc>
          <w:tcPr>
            <w:tcW w:w="40" w:type="dxa"/>
            <w:vAlign w:val="bottom"/>
          </w:tcPr>
          <w:p>
            <w:pPr>
              <w:spacing w:after="0"/>
              <w:rPr>
                <w:sz w:val="24"/>
                <w:szCs w:val="24"/>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646"/>
              <w:spacing w:after="0"/>
              <w:rPr>
                <w:sz w:val="20"/>
                <w:szCs w:val="20"/>
                <w:color w:val="auto"/>
              </w:rPr>
            </w:pPr>
            <w:r>
              <w:rPr>
                <w:rFonts w:ascii="Arial" w:cs="Arial" w:eastAsia="Arial" w:hAnsi="Arial"/>
                <w:sz w:val="13"/>
                <w:szCs w:val="13"/>
                <w:b w:val="1"/>
                <w:bCs w:val="1"/>
                <w:color w:val="auto"/>
              </w:rPr>
              <w:t>June 30, 2020</w:t>
            </w:r>
          </w:p>
        </w:tc>
      </w:tr>
      <w:tr>
        <w:trPr>
          <w:trHeight w:val="270"/>
        </w:trPr>
        <w:tc>
          <w:tcPr>
            <w:tcW w:w="40" w:type="dxa"/>
            <w:vAlign w:val="bottom"/>
          </w:tcPr>
          <w:p>
            <w:pPr>
              <w:spacing w:after="0"/>
              <w:rPr>
                <w:sz w:val="23"/>
                <w:szCs w:val="23"/>
                <w:color w:val="auto"/>
              </w:rPr>
            </w:pPr>
          </w:p>
        </w:tc>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24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Operating cash flows from operating leases (1)</w:t>
            </w:r>
          </w:p>
        </w:tc>
        <w:tc>
          <w:tcPr>
            <w:tcW w:w="2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46"/>
              <w:spacing w:after="0"/>
              <w:rPr>
                <w:sz w:val="20"/>
                <w:szCs w:val="20"/>
                <w:color w:val="auto"/>
              </w:rPr>
            </w:pPr>
            <w:r>
              <w:rPr>
                <w:rFonts w:ascii="Arial" w:cs="Arial" w:eastAsia="Arial" w:hAnsi="Arial"/>
                <w:sz w:val="16"/>
                <w:szCs w:val="16"/>
                <w:color w:val="auto"/>
              </w:rPr>
              <w:t>40,777</w:t>
            </w:r>
          </w:p>
        </w:tc>
      </w:tr>
      <w:tr>
        <w:trPr>
          <w:trHeight w:val="280"/>
        </w:trPr>
        <w:tc>
          <w:tcPr>
            <w:tcW w:w="40" w:type="dxa"/>
            <w:vAlign w:val="bottom"/>
          </w:tcPr>
          <w:p>
            <w:pPr>
              <w:spacing w:after="0"/>
              <w:rPr>
                <w:sz w:val="24"/>
                <w:szCs w:val="24"/>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cash flows from finance leases</w:t>
            </w:r>
          </w:p>
        </w:tc>
        <w:tc>
          <w:tcPr>
            <w:tcW w:w="2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698</w:t>
            </w:r>
          </w:p>
        </w:tc>
      </w:tr>
      <w:tr>
        <w:trPr>
          <w:trHeight w:val="251"/>
        </w:trPr>
        <w:tc>
          <w:tcPr>
            <w:tcW w:w="40" w:type="dxa"/>
            <w:vAlign w:val="bottom"/>
          </w:tcPr>
          <w:p>
            <w:pPr>
              <w:spacing w:after="0"/>
              <w:rPr>
                <w:sz w:val="21"/>
                <w:szCs w:val="21"/>
                <w:color w:val="auto"/>
              </w:rPr>
            </w:pPr>
          </w:p>
        </w:tc>
        <w:tc>
          <w:tcPr>
            <w:tcW w:w="6900" w:type="dxa"/>
            <w:vAlign w:val="bottom"/>
          </w:tcPr>
          <w:p>
            <w:pPr>
              <w:ind w:left="200"/>
              <w:spacing w:after="0"/>
              <w:rPr>
                <w:sz w:val="20"/>
                <w:szCs w:val="20"/>
                <w:color w:val="auto"/>
              </w:rPr>
            </w:pPr>
            <w:r>
              <w:rPr>
                <w:rFonts w:ascii="Arial" w:cs="Arial" w:eastAsia="Arial" w:hAnsi="Arial"/>
                <w:sz w:val="16"/>
                <w:szCs w:val="16"/>
                <w:color w:val="auto"/>
              </w:rPr>
              <w:t>Financing cash flows from finance leases (1)</w:t>
            </w:r>
          </w:p>
        </w:tc>
        <w:tc>
          <w:tcPr>
            <w:tcW w:w="2440" w:type="dxa"/>
            <w:vAlign w:val="bottom"/>
          </w:tcPr>
          <w:p>
            <w:pPr>
              <w:spacing w:after="0"/>
              <w:rPr>
                <w:sz w:val="21"/>
                <w:szCs w:val="21"/>
                <w:color w:val="auto"/>
              </w:rPr>
            </w:pPr>
          </w:p>
        </w:tc>
        <w:tc>
          <w:tcPr>
            <w:tcW w:w="1840" w:type="dxa"/>
            <w:vAlign w:val="bottom"/>
          </w:tcPr>
          <w:p>
            <w:pPr>
              <w:jc w:val="right"/>
              <w:ind w:right="46"/>
              <w:spacing w:after="0"/>
              <w:rPr>
                <w:sz w:val="20"/>
                <w:szCs w:val="20"/>
                <w:color w:val="auto"/>
              </w:rPr>
            </w:pPr>
            <w:r>
              <w:rPr>
                <w:rFonts w:ascii="Arial" w:cs="Arial" w:eastAsia="Arial" w:hAnsi="Arial"/>
                <w:sz w:val="16"/>
                <w:szCs w:val="16"/>
                <w:color w:val="auto"/>
              </w:rPr>
              <w:t>9,511</w:t>
            </w:r>
          </w:p>
        </w:tc>
      </w:tr>
      <w:tr>
        <w:trPr>
          <w:trHeight w:val="196"/>
        </w:trPr>
        <w:tc>
          <w:tcPr>
            <w:tcW w:w="6940" w:type="dxa"/>
            <w:vAlign w:val="bottom"/>
            <w:gridSpan w:val="2"/>
          </w:tcPr>
          <w:p>
            <w:pPr>
              <w:jc w:val="right"/>
              <w:ind w:right="5341"/>
              <w:spacing w:after="0"/>
              <w:rPr>
                <w:sz w:val="20"/>
                <w:szCs w:val="20"/>
                <w:color w:val="auto"/>
              </w:rPr>
            </w:pPr>
            <w:r>
              <w:rPr>
                <w:rFonts w:ascii="Arial" w:cs="Arial" w:eastAsia="Arial" w:hAnsi="Arial"/>
                <w:sz w:val="14"/>
                <w:szCs w:val="14"/>
                <w:color w:val="auto"/>
              </w:rPr>
              <w:t>___________________</w:t>
            </w:r>
          </w:p>
        </w:tc>
        <w:tc>
          <w:tcPr>
            <w:tcW w:w="244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spacing w:after="0" w:line="44" w:lineRule="exact"/>
        <w:rPr>
          <w:sz w:val="20"/>
          <w:szCs w:val="20"/>
          <w:color w:val="auto"/>
        </w:rPr>
      </w:pPr>
    </w:p>
    <w:p>
      <w:pPr>
        <w:ind w:left="260" w:right="20" w:hanging="252"/>
        <w:spacing w:after="0" w:line="249" w:lineRule="auto"/>
        <w:tabs>
          <w:tab w:leader="none" w:pos="233" w:val="left"/>
        </w:tabs>
        <w:numPr>
          <w:ilvl w:val="0"/>
          <w:numId w:val="73"/>
        </w:numPr>
        <w:rPr>
          <w:rFonts w:ascii="Arial" w:cs="Arial" w:eastAsia="Arial" w:hAnsi="Arial"/>
          <w:sz w:val="14"/>
          <w:szCs w:val="14"/>
          <w:color w:val="auto"/>
        </w:rPr>
      </w:pPr>
      <w:r>
        <w:rPr>
          <w:rFonts w:ascii="Arial" w:cs="Arial" w:eastAsia="Arial" w:hAnsi="Arial"/>
          <w:sz w:val="14"/>
          <w:szCs w:val="14"/>
          <w:color w:val="auto"/>
        </w:rPr>
        <w:t>During the fourth quarter of fiscal 2020, we negotiated rent payment holidays with several leasing counterparties for both operating and finance leases as a lease concession in response to the COVID-19 pandemic. Our cash flows from operating and finance leases in fiscal 2020 were higher by $6,385 and $1,833, respectively, due to these deferrals of lease payments.</w:t>
      </w:r>
    </w:p>
    <w:p>
      <w:pPr>
        <w:spacing w:after="0" w:line="146" w:lineRule="exact"/>
        <w:rPr>
          <w:sz w:val="20"/>
          <w:szCs w:val="20"/>
          <w:color w:val="auto"/>
        </w:rPr>
      </w:pPr>
    </w:p>
    <w:p>
      <w:pPr>
        <w:ind w:right="8080" w:firstLine="8"/>
        <w:spacing w:after="0" w:line="412" w:lineRule="auto"/>
        <w:tabs>
          <w:tab w:leader="none" w:pos="3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Purchase Obligations</w:t>
      </w:r>
    </w:p>
    <w:p>
      <w:pPr>
        <w:spacing w:after="0" w:line="40" w:lineRule="exact"/>
        <w:rPr>
          <w:sz w:val="20"/>
          <w:szCs w:val="20"/>
          <w:color w:val="auto"/>
        </w:rPr>
      </w:pPr>
    </w:p>
    <w:p>
      <w:pPr>
        <w:ind w:right="240" w:firstLine="661"/>
        <w:spacing w:after="0" w:line="254" w:lineRule="auto"/>
        <w:rPr>
          <w:sz w:val="20"/>
          <w:szCs w:val="20"/>
          <w:color w:val="auto"/>
        </w:rPr>
      </w:pPr>
      <w:r>
        <w:rPr>
          <w:rFonts w:ascii="Arial" w:cs="Arial" w:eastAsia="Arial" w:hAnsi="Arial"/>
          <w:sz w:val="18"/>
          <w:szCs w:val="18"/>
          <w:color w:val="auto"/>
        </w:rPr>
        <w:t>At June 30, 2020, we had unrecorded commitments under contract of $109,728, including third-party web services of $61,721 and inventory and third-party fulfillment purchase commitments of $ 21,817. In addition, we had purchase commitments for professional and consulting fees of $3,787, production and computer equipment purchases of $859, commitments for advertising campaigns of $999, and other unrecorded purchase commitments of $20,545.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1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required principal payments due during the next five fiscal years and thereafter under our outstanding long-term debt obligations at June 30, 2020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28,295</w:t>
            </w:r>
          </w:p>
        </w:tc>
      </w:tr>
      <w:tr>
        <w:trPr>
          <w:trHeight w:val="260"/>
        </w:trPr>
        <w:tc>
          <w:tcPr>
            <w:tcW w:w="9340" w:type="dxa"/>
            <w:vAlign w:val="bottom"/>
          </w:tcPr>
          <w:p>
            <w:pPr>
              <w:ind w:left="40"/>
              <w:spacing w:after="0"/>
              <w:rPr>
                <w:sz w:val="20"/>
                <w:szCs w:val="20"/>
                <w:color w:val="auto"/>
              </w:rPr>
            </w:pPr>
            <w:r>
              <w:rPr>
                <w:rFonts w:ascii="Arial" w:cs="Arial" w:eastAsia="Arial" w:hAnsi="Arial"/>
                <w:sz w:val="16"/>
                <w:szCs w:val="16"/>
                <w:color w:val="auto"/>
              </w:rPr>
              <w:t>2022</w:t>
            </w:r>
          </w:p>
        </w:tc>
        <w:tc>
          <w:tcPr>
            <w:tcW w:w="6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15,618</w:t>
            </w:r>
          </w:p>
        </w:tc>
      </w:tr>
      <w:tr>
        <w:trPr>
          <w:trHeight w:val="280"/>
        </w:trPr>
        <w:tc>
          <w:tcPr>
            <w:tcW w:w="9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18,696</w:t>
            </w:r>
          </w:p>
        </w:tc>
      </w:tr>
      <w:tr>
        <w:trPr>
          <w:trHeight w:val="260"/>
        </w:trPr>
        <w:tc>
          <w:tcPr>
            <w:tcW w:w="9340" w:type="dxa"/>
            <w:vAlign w:val="bottom"/>
          </w:tcPr>
          <w:p>
            <w:pPr>
              <w:ind w:left="40"/>
              <w:spacing w:after="0"/>
              <w:rPr>
                <w:sz w:val="20"/>
                <w:szCs w:val="20"/>
                <w:color w:val="auto"/>
              </w:rPr>
            </w:pPr>
            <w:r>
              <w:rPr>
                <w:rFonts w:ascii="Arial" w:cs="Arial" w:eastAsia="Arial" w:hAnsi="Arial"/>
                <w:sz w:val="16"/>
                <w:szCs w:val="16"/>
                <w:color w:val="auto"/>
              </w:rPr>
              <w:t>2024</w:t>
            </w:r>
          </w:p>
        </w:tc>
        <w:tc>
          <w:tcPr>
            <w:tcW w:w="6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20,567</w:t>
            </w:r>
          </w:p>
        </w:tc>
      </w:tr>
      <w:tr>
        <w:trPr>
          <w:trHeight w:val="280"/>
        </w:trPr>
        <w:tc>
          <w:tcPr>
            <w:tcW w:w="9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6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799,001</w:t>
            </w:r>
          </w:p>
        </w:tc>
      </w:tr>
      <w:tr>
        <w:trPr>
          <w:trHeight w:val="264"/>
        </w:trPr>
        <w:tc>
          <w:tcPr>
            <w:tcW w:w="9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600,000</w:t>
            </w:r>
          </w:p>
        </w:tc>
      </w:tr>
      <w:tr>
        <w:trPr>
          <w:trHeight w:val="236"/>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1,482,177</w:t>
            </w:r>
          </w:p>
        </w:tc>
      </w:tr>
      <w:tr>
        <w:trPr>
          <w:trHeight w:val="20"/>
        </w:trPr>
        <w:tc>
          <w:tcPr>
            <w:tcW w:w="9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On April 28, 2020, we executed an amendment to our senior secured credit facility, and we reduced the credit facility from $1,551,419 to $1,000,000, made up of an $850,000 revolver and $150,000 term loan. The amendment also changed the maturity date of the senior secured credit facility from February 2025 to November 2024. Refer to Note 10 for additional details.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deferred payments for several of our acquisitions resulting in the recognition of a liability of $2,289 in aggregate as of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35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19. Restructuring Charges</w:t>
      </w:r>
    </w:p>
    <w:p>
      <w:pPr>
        <w:spacing w:after="0" w:line="247"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write-off of assets and other related costs including third-party professional and outplacement services. The restructuring charges included in our consolidated statement of operations for the years ended June 30, 2020, 2019 and 2018 were $13,543, $12,054 and $15,236, respectively.</w:t>
      </w:r>
    </w:p>
    <w:p>
      <w:pPr>
        <w:spacing w:after="0" w:line="202"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During the year ended June 30, 2020, we recognized restructuring charges of $13,543 consisting of charges of $5,734 within our Vistaprint reportable segment as we continue to evolve our organizational structure, including our recent reorganization of the technology team. We also recognized $3,532 in charges within our central and corporate costs, due to the coordinated reorganization of technology teams with our Vistaprint business. We also incurred charges of $3,211, $535 and $475 in our National Pen, All Other Businesses and The Print Group reportable segments, respectively during the year ended June 30, 2020, for various cost reduction measures primarily in response to the pandemic.</w:t>
      </w:r>
    </w:p>
    <w:p>
      <w:pPr>
        <w:spacing w:after="0" w:line="20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During the year ended June 30, 2019, we recognized restructuring charges of $12,054, primarily related to a restructuring action within our Vistaprint business, resulting in $8,467 of charges. The Vistaprint action included changes to the leadership team, as well as other reductions in headcount and associated costs. We also incurred individually immaterial restructuring charges in The Print Group and All Other Businesses reportable segments, and Central and Corporate cost center of $2,223, $1,197, and $167, respectively.</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During the year ended June 30, 2018, we recognized restructuring charges of $15,236, which included $12,112 related to our Vistaprint reorganization for reductions in headcount and other operating costs. These changes simplified operations and more closely aligned functions to increase the speed of execution. We also recognized $2,249 of restructuring charges within the central and corporate group, as well as $819 of expense for an initiative within our All Other Businesses reportable segment. During the year ended June 30, 2018, we recognized changes in estimates of $56 from our January 2017 restructuring initiative.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activity during the years ended June 30, 2020 and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Related</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7"/>
        </w:trPr>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Benefits</w:t>
            </w:r>
          </w:p>
        </w:tc>
        <w:tc>
          <w:tcPr>
            <w:tcW w:w="180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 Restructuring Costs</w:t>
            </w:r>
          </w:p>
        </w:tc>
        <w:tc>
          <w:tcPr>
            <w:tcW w:w="400" w:type="dxa"/>
            <w:vAlign w:val="bottom"/>
          </w:tcPr>
          <w:p>
            <w:pPr>
              <w:spacing w:after="0"/>
              <w:rPr>
                <w:sz w:val="15"/>
                <w:szCs w:val="15"/>
                <w:color w:val="auto"/>
              </w:rPr>
            </w:pPr>
          </w:p>
        </w:tc>
        <w:tc>
          <w:tcPr>
            <w:tcW w:w="1280" w:type="dxa"/>
            <w:vAlign w:val="bottom"/>
          </w:tcPr>
          <w:p>
            <w:pPr>
              <w:jc w:val="right"/>
              <w:ind w:right="621"/>
              <w:spacing w:after="0"/>
              <w:rPr>
                <w:sz w:val="20"/>
                <w:szCs w:val="20"/>
                <w:color w:val="auto"/>
              </w:rPr>
            </w:pPr>
            <w:r>
              <w:rPr>
                <w:rFonts w:ascii="Arial" w:cs="Arial" w:eastAsia="Arial" w:hAnsi="Arial"/>
                <w:sz w:val="13"/>
                <w:szCs w:val="13"/>
                <w:b w:val="1"/>
                <w:bCs w:val="1"/>
                <w:color w:val="auto"/>
              </w:rPr>
              <w:t>Total</w:t>
            </w:r>
          </w:p>
        </w:tc>
      </w:tr>
      <w:tr>
        <w:trPr>
          <w:trHeight w:val="257"/>
        </w:trPr>
        <w:tc>
          <w:tcPr>
            <w:tcW w:w="5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1,385</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1,387</w:t>
            </w:r>
          </w:p>
        </w:tc>
      </w:tr>
      <w:tr>
        <w:trPr>
          <w:trHeight w:val="260"/>
        </w:trPr>
        <w:tc>
          <w:tcPr>
            <w:tcW w:w="596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2"/>
                <w:szCs w:val="22"/>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11,057</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12,054</w:t>
            </w:r>
          </w:p>
        </w:tc>
      </w:tr>
      <w:tr>
        <w:trPr>
          <w:trHeight w:val="280"/>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w:t>
            </w:r>
          </w:p>
        </w:tc>
      </w:tr>
      <w:tr>
        <w:trPr>
          <w:trHeight w:val="263"/>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Non-cash charges (1)</w:t>
            </w:r>
          </w:p>
        </w:tc>
        <w:tc>
          <w:tcPr>
            <w:tcW w:w="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(4,197)</w:t>
            </w: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2019</w:t>
            </w: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3,045</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3,212</w:t>
            </w:r>
          </w:p>
        </w:tc>
      </w:tr>
      <w:tr>
        <w:trPr>
          <w:trHeight w:val="260"/>
        </w:trPr>
        <w:tc>
          <w:tcPr>
            <w:tcW w:w="596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2"/>
                <w:szCs w:val="22"/>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13,193</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13,543</w:t>
            </w:r>
          </w:p>
        </w:tc>
      </w:tr>
      <w:tr>
        <w:trPr>
          <w:trHeight w:val="280"/>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(9,087)</w:t>
            </w:r>
          </w:p>
        </w:tc>
      </w:tr>
      <w:tr>
        <w:trPr>
          <w:trHeight w:val="263"/>
        </w:trPr>
        <w:tc>
          <w:tcPr>
            <w:tcW w:w="5960" w:type="dxa"/>
            <w:vAlign w:val="bottom"/>
          </w:tcPr>
          <w:p>
            <w:pPr>
              <w:ind w:left="40"/>
              <w:spacing w:after="0"/>
              <w:rPr>
                <w:sz w:val="20"/>
                <w:szCs w:val="20"/>
                <w:color w:val="auto"/>
              </w:rPr>
            </w:pPr>
            <w:r>
              <w:rPr>
                <w:rFonts w:ascii="Arial" w:cs="Arial" w:eastAsia="Arial" w:hAnsi="Arial"/>
                <w:sz w:val="16"/>
                <w:szCs w:val="16"/>
                <w:color w:val="auto"/>
              </w:rPr>
              <w:t>Non-cash charges (1)</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(1,622)</w:t>
            </w:r>
          </w:p>
        </w:tc>
      </w:tr>
      <w:tr>
        <w:trPr>
          <w:trHeight w:val="24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6,046</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Non-cash charges primarily include acceleration of share-based compensation expenses.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333"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Year Ended June 30, 2020</w:t>
            </w:r>
          </w:p>
        </w:tc>
        <w:tc>
          <w:tcPr>
            <w:tcW w:w="760" w:type="dxa"/>
            <w:vAlign w:val="bottom"/>
          </w:tcPr>
          <w:p>
            <w:pPr>
              <w:spacing w:after="0"/>
              <w:rPr>
                <w:sz w:val="15"/>
                <w:szCs w:val="15"/>
                <w:color w:val="auto"/>
              </w:rPr>
            </w:pPr>
          </w:p>
        </w:tc>
        <w:tc>
          <w:tcPr>
            <w:tcW w:w="1260" w:type="dxa"/>
            <w:vAlign w:val="bottom"/>
            <w:gridSpan w:val="3"/>
          </w:tcPr>
          <w:p>
            <w:pPr>
              <w:ind w:left="100"/>
              <w:spacing w:after="0"/>
              <w:rPr>
                <w:sz w:val="20"/>
                <w:szCs w:val="20"/>
                <w:color w:val="auto"/>
              </w:rPr>
            </w:pPr>
            <w:r>
              <w:rPr>
                <w:rFonts w:ascii="Arial" w:cs="Arial" w:eastAsia="Arial" w:hAnsi="Arial"/>
                <w:sz w:val="13"/>
                <w:szCs w:val="13"/>
                <w:b w:val="1"/>
                <w:bCs w:val="1"/>
                <w:color w:val="auto"/>
              </w:rPr>
              <w:t>First Quarter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3"/>
                <w:szCs w:val="13"/>
                <w:b w:val="1"/>
                <w:bCs w:val="1"/>
                <w:color w:val="auto"/>
              </w:rPr>
              <w:t>Second Quarter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ind w:left="100"/>
              <w:spacing w:after="0"/>
              <w:rPr>
                <w:sz w:val="20"/>
                <w:szCs w:val="20"/>
                <w:color w:val="auto"/>
              </w:rPr>
            </w:pPr>
            <w:r>
              <w:rPr>
                <w:rFonts w:ascii="Arial" w:cs="Arial" w:eastAsia="Arial" w:hAnsi="Arial"/>
                <w:sz w:val="13"/>
                <w:szCs w:val="13"/>
                <w:b w:val="1"/>
                <w:bCs w:val="1"/>
                <w:color w:val="auto"/>
              </w:rPr>
              <w:t>Third Quarter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222"/>
              <w:spacing w:after="0"/>
              <w:rPr>
                <w:sz w:val="20"/>
                <w:szCs w:val="20"/>
                <w:color w:val="auto"/>
              </w:rPr>
            </w:pPr>
            <w:r>
              <w:rPr>
                <w:rFonts w:ascii="Arial" w:cs="Arial" w:eastAsia="Arial" w:hAnsi="Arial"/>
                <w:sz w:val="13"/>
                <w:szCs w:val="13"/>
                <w:b w:val="1"/>
                <w:bCs w:val="1"/>
                <w:color w:val="auto"/>
              </w:rPr>
              <w:t>Fourth Quarter</w:t>
            </w:r>
          </w:p>
        </w:tc>
        <w:tc>
          <w:tcPr>
            <w:tcW w:w="20" w:type="dxa"/>
            <w:vAlign w:val="bottom"/>
          </w:tcPr>
          <w:p>
            <w:pPr>
              <w:spacing w:after="0"/>
              <w:rPr>
                <w:sz w:val="15"/>
                <w:szCs w:val="15"/>
                <w:color w:val="auto"/>
              </w:rPr>
            </w:pPr>
          </w:p>
        </w:tc>
      </w:tr>
      <w:tr>
        <w:trPr>
          <w:trHeight w:val="257"/>
        </w:trPr>
        <w:tc>
          <w:tcPr>
            <w:tcW w:w="40" w:type="dxa"/>
            <w:vAlign w:val="bottom"/>
          </w:tcPr>
          <w:p>
            <w:pPr>
              <w:spacing w:after="0"/>
              <w:rPr>
                <w:sz w:val="22"/>
                <w:szCs w:val="22"/>
                <w:color w:val="auto"/>
              </w:rPr>
            </w:pPr>
          </w:p>
        </w:tc>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633,959</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820,333</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597,960</w:t>
            </w: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429,106</w:t>
            </w:r>
          </w:p>
        </w:tc>
        <w:tc>
          <w:tcPr>
            <w:tcW w:w="20" w:type="dxa"/>
            <w:vAlign w:val="bottom"/>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76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325,665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394,018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309,598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219,590</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7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19,851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190,649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(43,005)</w:t>
            </w: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16"/>
                <w:szCs w:val="16"/>
                <w:color w:val="auto"/>
              </w:rPr>
              <w:t>Net income (loss) attributable to Cimpress plc</w:t>
            </w:r>
          </w:p>
        </w:tc>
        <w:tc>
          <w:tcPr>
            <w:tcW w:w="760" w:type="dxa"/>
            <w:vAlign w:val="bottom"/>
          </w:tcPr>
          <w:p>
            <w:pPr>
              <w:spacing w:after="0"/>
              <w:rPr>
                <w:sz w:val="22"/>
                <w:szCs w:val="22"/>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20,031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190,223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(84,884)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(42,005)</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share attributable to Cimpress plc:</w:t>
            </w:r>
          </w:p>
        </w:tc>
        <w:tc>
          <w:tcPr>
            <w:tcW w:w="7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4560" w:type="dxa"/>
            <w:vAlign w:val="bottom"/>
          </w:tcPr>
          <w:p>
            <w:pPr>
              <w:ind w:left="38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0.67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7.04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45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 (1)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0.66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0" w:type="dxa"/>
            <w:vAlign w:val="bottom"/>
          </w:tcPr>
          <w:p>
            <w:pPr>
              <w:spacing w:after="0"/>
              <w:rPr>
                <w:sz w:val="24"/>
                <w:szCs w:val="24"/>
                <w:color w:val="auto"/>
              </w:rPr>
            </w:pPr>
          </w:p>
        </w:tc>
      </w:tr>
      <w:tr>
        <w:trPr>
          <w:trHeight w:val="723"/>
        </w:trPr>
        <w:tc>
          <w:tcPr>
            <w:tcW w:w="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Year Ended June 30, 2019</w:t>
            </w:r>
          </w:p>
        </w:tc>
        <w:tc>
          <w:tcPr>
            <w:tcW w:w="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First Quarter</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Second Quarter</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Third Quarter</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Fourth Quarter</w:t>
            </w:r>
          </w:p>
        </w:tc>
        <w:tc>
          <w:tcPr>
            <w:tcW w:w="20" w:type="dxa"/>
            <w:vAlign w:val="bottom"/>
            <w:tcBorders>
              <w:bottom w:val="single" w:sz="8" w:color="auto"/>
            </w:tcBorders>
          </w:tcPr>
          <w:p>
            <w:pPr>
              <w:spacing w:after="0"/>
              <w:rPr>
                <w:sz w:val="24"/>
                <w:szCs w:val="24"/>
                <w:color w:val="auto"/>
              </w:rPr>
            </w:pPr>
          </w:p>
        </w:tc>
      </w:tr>
      <w:tr>
        <w:trPr>
          <w:trHeight w:val="257"/>
        </w:trPr>
        <w:tc>
          <w:tcPr>
            <w:tcW w:w="40" w:type="dxa"/>
            <w:vAlign w:val="bottom"/>
            <w:shd w:val="clear" w:color="auto" w:fill="CCEEFF"/>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588,981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825,567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661,814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674,714</w:t>
            </w:r>
          </w:p>
        </w:tc>
        <w:tc>
          <w:tcPr>
            <w:tcW w:w="20" w:type="dxa"/>
            <w:vAlign w:val="bottom"/>
            <w:shd w:val="clear" w:color="auto" w:fill="CCEEFF"/>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Cost of revenue</w:t>
            </w:r>
          </w:p>
        </w:tc>
        <w:tc>
          <w:tcPr>
            <w:tcW w:w="760" w:type="dxa"/>
            <w:vAlign w:val="bottom"/>
          </w:tcPr>
          <w:p>
            <w:pPr>
              <w:spacing w:after="0"/>
              <w:rPr>
                <w:sz w:val="22"/>
                <w:szCs w:val="22"/>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302,471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411,496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342,700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344,677</w:t>
            </w:r>
          </w:p>
        </w:tc>
        <w:tc>
          <w:tcPr>
            <w:tcW w:w="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7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69,037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6,242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33,195</w:t>
            </w:r>
          </w:p>
        </w:tc>
        <w:tc>
          <w:tcPr>
            <w:tcW w:w="20" w:type="dxa"/>
            <w:vAlign w:val="bottom"/>
            <w:shd w:val="clear" w:color="auto" w:fill="CCEEFF"/>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Net (loss) income attributable to Cimpress plc</w:t>
            </w:r>
          </w:p>
        </w:tc>
        <w:tc>
          <w:tcPr>
            <w:tcW w:w="7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(14,639)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69,014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6,530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34,147</w:t>
            </w:r>
          </w:p>
        </w:tc>
        <w:tc>
          <w:tcPr>
            <w:tcW w:w="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 per share attributable to Cimpress plc:</w:t>
            </w:r>
          </w:p>
        </w:tc>
        <w:tc>
          <w:tcPr>
            <w:tcW w:w="7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0"/>
        </w:trPr>
        <w:tc>
          <w:tcPr>
            <w:tcW w:w="40" w:type="dxa"/>
            <w:vAlign w:val="bottom"/>
          </w:tcPr>
          <w:p>
            <w:pPr>
              <w:spacing w:after="0"/>
              <w:rPr>
                <w:sz w:val="22"/>
                <w:szCs w:val="22"/>
                <w:color w:val="auto"/>
              </w:rPr>
            </w:pPr>
          </w:p>
        </w:tc>
        <w:tc>
          <w:tcPr>
            <w:tcW w:w="4560" w:type="dxa"/>
            <w:vAlign w:val="bottom"/>
          </w:tcPr>
          <w:p>
            <w:pPr>
              <w:ind w:left="34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0.21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 (1)</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w:t>
            </w:r>
          </w:p>
        </w:tc>
        <w:tc>
          <w:tcPr>
            <w:tcW w:w="20" w:type="dxa"/>
            <w:vAlign w:val="bottom"/>
            <w:shd w:val="clear" w:color="auto" w:fill="CCEEFF"/>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2" w:lineRule="exact"/>
        <w:rPr>
          <w:sz w:val="20"/>
          <w:szCs w:val="20"/>
          <w:color w:val="auto"/>
        </w:rPr>
      </w:pPr>
    </w:p>
    <w:p>
      <w:pPr>
        <w:ind w:right="240" w:firstLine="8"/>
        <w:spacing w:after="0" w:line="258" w:lineRule="auto"/>
        <w:tabs>
          <w:tab w:leader="none" w:pos="216"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warrants, RSUs, and RSA's are anti-dilutive, and therefore our basic and diluted earnings per share are the same.</w:t>
      </w:r>
    </w:p>
    <w:p>
      <w:pPr>
        <w:spacing w:after="0" w:line="161"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Basic and diluted net income (loss) per share attributable to Cimpress plc are computed independently for each of the quarters presented. Therefore, the sum of quarterly basic and diluted per share information may not equal annual basic and diluted net income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2020.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2020, our chief executive officer and chief financial officer concluded that, as of such date, our disclosure controls and procedures were effective at the reasonable assurance level.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 -15(f) and 15d-15(f) under the Exchange Act) during the three months ended June 30, 2020 that materially affected, or are reasonably likely to materially affect, our internal control over financial reporting.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4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2"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8" w:lineRule="exact"/>
        <w:rPr>
          <w:sz w:val="20"/>
          <w:szCs w:val="20"/>
          <w:color w:val="auto"/>
        </w:rPr>
      </w:pPr>
    </w:p>
    <w:p>
      <w:pPr>
        <w:ind w:left="660" w:right="280" w:hanging="328"/>
        <w:spacing w:after="0" w:line="261"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1" w:lineRule="exact"/>
        <w:rPr>
          <w:rFonts w:ascii="Arial" w:cs="Arial" w:eastAsia="Arial" w:hAnsi="Arial"/>
          <w:sz w:val="18"/>
          <w:szCs w:val="18"/>
          <w:color w:val="auto"/>
        </w:rPr>
      </w:pPr>
    </w:p>
    <w:p>
      <w:pPr>
        <w:ind w:left="660" w:right="760" w:hanging="328"/>
        <w:spacing w:after="0" w:line="261"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management assessed the effectiveness of our internal control over financial reporting as of June 30, 2020. In making this assessment, our management used the criteria set forth in the Internal Control — Integrated Framework (2013) issued by the Committee of Sponsoring Organizations of the Treadway Commission (COSO). Based on our assessment, management concluded that, as of June 30, 2020, our internal control over financial reporting is effective based on criteria in Internal Control - Integrated Framework (2013) issued by the COSO. PricewaterhouseCoopers LLP, our independent registered public accounting firm, has audited the effectiveness of our internal control over financial reporting as of June 30, 2020, as stated in their report included on pages 54-56.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53" w:lineRule="exact"/>
        <w:rPr>
          <w:sz w:val="20"/>
          <w:szCs w:val="20"/>
          <w:color w:val="auto"/>
        </w:rPr>
      </w:pPr>
    </w:p>
    <w:p>
      <w:pPr>
        <w:ind w:right="80" w:firstLine="661"/>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in the sections captioned “Information about our Directors and Executive Officers,” “Corporate Governance” and “Delinquent Section 16(a) Reports” contained in our definitive proxy statement for our 2020 Annual General Meeting of Shareholders, which we refer to as our 2020 Proxy Statement.</w:t>
      </w:r>
    </w:p>
    <w:p>
      <w:pPr>
        <w:spacing w:after="0" w:line="107" w:lineRule="exact"/>
        <w:rPr>
          <w:sz w:val="20"/>
          <w:szCs w:val="20"/>
          <w:color w:val="auto"/>
        </w:rPr>
      </w:pPr>
    </w:p>
    <w:p>
      <w:pPr>
        <w:ind w:firstLine="661"/>
        <w:spacing w:after="0" w:line="253" w:lineRule="auto"/>
        <w:rPr>
          <w:sz w:val="20"/>
          <w:szCs w:val="20"/>
          <w:color w:val="auto"/>
        </w:rPr>
      </w:pPr>
      <w:r>
        <w:rPr>
          <w:rFonts w:ascii="Arial" w:cs="Arial" w:eastAsia="Arial" w:hAnsi="Arial"/>
          <w:sz w:val="18"/>
          <w:szCs w:val="18"/>
          <w:color w:val="auto"/>
        </w:rPr>
        <w:t>We have adopted a written code of business conduct and ethics that applies to all of our employees, including our principal executive officer and principal financial and accounting officer, and is available on our website at www.cimpress.com. We did not waive any provisions of this code during the fiscal year ended June 30, 2020. If we amend, or grant a waiver under, our code of business conduct and ethics that applies to our principal executive, financial or accounting officers, or persons performing similar functions, we will post information about such amendment or waiver on our website at www.cimpress.com.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53" w:lineRule="exact"/>
        <w:rPr>
          <w:sz w:val="20"/>
          <w:szCs w:val="20"/>
          <w:color w:val="auto"/>
        </w:rPr>
      </w:pPr>
    </w:p>
    <w:p>
      <w:pPr>
        <w:ind w:right="80" w:firstLine="661"/>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2020 Proxy Statement captioned “Compensation Discussion and Analysis," "Summary Compensation Tables," “Compensation of our Board of Directors" and “Compensation Committee Interlocks and Insider Participation.”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14" w:right="339" w:bottom="1440" w:gutter="0" w:footer="0" w:header="0"/>
        </w:sectPr>
      </w:pPr>
    </w:p>
    <w:bookmarkStart w:id="116" w:name="page117"/>
    <w:bookmarkEnd w:id="116"/>
    <w:p>
      <w:pPr>
        <w:ind w:right="2300"/>
        <w:spacing w:after="0" w:line="287"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7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2020 Proxy Statement captioned “Security Ownership of Certain Beneficial Owners and Management” and “Securities Authorized for Issuance Under Equity Compensation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53" w:lineRule="exact"/>
        <w:rPr>
          <w:sz w:val="20"/>
          <w:szCs w:val="20"/>
          <w:color w:val="auto"/>
        </w:rPr>
      </w:pPr>
    </w:p>
    <w:p>
      <w:pPr>
        <w:ind w:right="80" w:firstLine="661"/>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2020 Proxy Statement captioned “Certain Relationships and Related Transactions” and “Corporate Governance.”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53" w:lineRule="exact"/>
        <w:rPr>
          <w:sz w:val="20"/>
          <w:szCs w:val="20"/>
          <w:color w:val="auto"/>
        </w:rPr>
      </w:pPr>
    </w:p>
    <w:p>
      <w:pPr>
        <w:ind w:right="180" w:firstLine="661"/>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 of our 2020 Proxy Statement captioned “Independent Registered Public Accounting Firm Fees and Other Matters.”</w:t>
      </w:r>
    </w:p>
    <w:p>
      <w:pPr>
        <w:sectPr>
          <w:pgSz w:w="11900" w:h="16838" w:orient="portrait"/>
          <w:cols w:equalWidth="0" w:num="1">
            <w:col w:w="10900"/>
          </w:cols>
          <w:pgMar w:left="320" w:top="522" w:right="67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22"/>
          <w:szCs w:val="22"/>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tcPr>
          <w:p>
            <w:pPr>
              <w:spacing w:after="0"/>
              <w:rPr>
                <w:sz w:val="14"/>
                <w:szCs w:val="14"/>
                <w:color w:val="auto"/>
              </w:rPr>
            </w:pPr>
          </w:p>
        </w:tc>
      </w:tr>
      <w:tr>
        <w:trPr>
          <w:trHeight w:val="190"/>
        </w:trPr>
        <w:tc>
          <w:tcPr>
            <w:tcW w:w="6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0500" w:type="dxa"/>
            <w:vAlign w:val="bottom"/>
          </w:tcPr>
          <w:p>
            <w:pPr>
              <w:ind w:left="4960"/>
              <w:spacing w:after="0"/>
              <w:rPr>
                <w:sz w:val="20"/>
                <w:szCs w:val="20"/>
                <w:color w:val="auto"/>
              </w:rPr>
            </w:pPr>
            <w:r>
              <w:rPr>
                <w:rFonts w:ascii="Arial" w:cs="Arial" w:eastAsia="Arial" w:hAnsi="Arial"/>
                <w:sz w:val="14"/>
                <w:szCs w:val="14"/>
                <w:b w:val="1"/>
                <w:bCs w:val="1"/>
                <w:color w:val="auto"/>
              </w:rPr>
              <w:t>Description</w:t>
            </w:r>
          </w:p>
        </w:tc>
      </w:tr>
      <w:tr>
        <w:trPr>
          <w:trHeight w:val="230"/>
        </w:trPr>
        <w:tc>
          <w:tcPr>
            <w:tcW w:w="680" w:type="dxa"/>
            <w:vAlign w:val="bottom"/>
          </w:tcPr>
          <w:p>
            <w:pPr>
              <w:spacing w:after="0"/>
              <w:rPr>
                <w:rFonts w:ascii="Arial" w:cs="Arial" w:eastAsia="Arial" w:hAnsi="Arial"/>
                <w:sz w:val="16"/>
                <w:szCs w:val="16"/>
                <w:u w:val="single" w:color="auto"/>
                <w:color w:val="0000FF"/>
              </w:rPr>
            </w:pPr>
            <w:hyperlink r:id="rId35">
              <w:r>
                <w:rPr>
                  <w:rFonts w:ascii="Arial" w:cs="Arial" w:eastAsia="Arial" w:hAnsi="Arial"/>
                  <w:sz w:val="16"/>
                  <w:szCs w:val="16"/>
                  <w:u w:val="single" w:color="auto"/>
                  <w:color w:val="0000FF"/>
                </w:rPr>
                <w:t>2.1</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Common Draft Terms of Merger dated September 17, 2019 between Cimpress Limited and Cimpress N.V. is incorporated by reference to our</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Current Report on Form 8-K filed with the SEC on September 19, 2019</w:t>
            </w:r>
          </w:p>
        </w:tc>
      </w:tr>
      <w:tr>
        <w:trPr>
          <w:trHeight w:val="237"/>
        </w:trPr>
        <w:tc>
          <w:tcPr>
            <w:tcW w:w="680" w:type="dxa"/>
            <w:vAlign w:val="bottom"/>
          </w:tcPr>
          <w:p>
            <w:pPr>
              <w:spacing w:after="0"/>
              <w:rPr>
                <w:rFonts w:ascii="Arial" w:cs="Arial" w:eastAsia="Arial" w:hAnsi="Arial"/>
                <w:sz w:val="16"/>
                <w:szCs w:val="16"/>
                <w:u w:val="single" w:color="auto"/>
                <w:color w:val="0000FF"/>
              </w:rPr>
            </w:pPr>
            <w:hyperlink r:id="rId36">
              <w:r>
                <w:rPr>
                  <w:rFonts w:ascii="Arial" w:cs="Arial" w:eastAsia="Arial" w:hAnsi="Arial"/>
                  <w:sz w:val="16"/>
                  <w:szCs w:val="16"/>
                  <w:u w:val="single" w:color="auto"/>
                  <w:color w:val="0000FF"/>
                </w:rPr>
                <w:t>3.1</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Constitution of Cimpress plc is incorporated by reference to Annex B to our definitive proxy statement on Schedule 14A filed with the SEC on</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September 27, 2019</w:t>
            </w:r>
          </w:p>
        </w:tc>
      </w:tr>
      <w:tr>
        <w:trPr>
          <w:trHeight w:val="237"/>
        </w:trPr>
        <w:tc>
          <w:tcPr>
            <w:tcW w:w="680" w:type="dxa"/>
            <w:vAlign w:val="bottom"/>
          </w:tcPr>
          <w:p>
            <w:pPr>
              <w:spacing w:after="0"/>
              <w:rPr>
                <w:rFonts w:ascii="Arial" w:cs="Arial" w:eastAsia="Arial" w:hAnsi="Arial"/>
                <w:sz w:val="16"/>
                <w:szCs w:val="16"/>
                <w:u w:val="single" w:color="auto"/>
                <w:color w:val="0000FF"/>
              </w:rPr>
            </w:pPr>
            <w:hyperlink r:id="rId37">
              <w:r>
                <w:rPr>
                  <w:rFonts w:ascii="Arial" w:cs="Arial" w:eastAsia="Arial" w:hAnsi="Arial"/>
                  <w:sz w:val="16"/>
                  <w:szCs w:val="16"/>
                  <w:u w:val="single" w:color="auto"/>
                  <w:color w:val="0000FF"/>
                </w:rPr>
                <w:t>4.1</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Senior Notes Indenture (including form of 7.0% senior notes due 2026), dated as of June 15, 2018, between Cimpress plc (as successor to</w:t>
            </w:r>
          </w:p>
        </w:tc>
      </w:tr>
      <w:tr>
        <w:trPr>
          <w:trHeight w:val="189"/>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Cimpress N.V.), certain subsidiaries of Cimpress plc as guarantors thereto, and U.S. Bank National Association, as successor trustee, is</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incorporated by reference to our Current Report on Form 8-K filed with the SEC on June 18, 2018</w:t>
            </w:r>
          </w:p>
        </w:tc>
      </w:tr>
      <w:tr>
        <w:trPr>
          <w:trHeight w:val="237"/>
        </w:trPr>
        <w:tc>
          <w:tcPr>
            <w:tcW w:w="680" w:type="dxa"/>
            <w:vAlign w:val="bottom"/>
          </w:tcPr>
          <w:p>
            <w:pPr>
              <w:spacing w:after="0"/>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4.2</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Second Supplemental Indenture, dated as of December 3, 2019, with respect to the 7.0% senior notes due 2026, between Cimpress plc,</w:t>
            </w:r>
          </w:p>
        </w:tc>
      </w:tr>
      <w:tr>
        <w:trPr>
          <w:trHeight w:val="189"/>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certain subsidiaries of Cimpress plc as guarantors thereto, and U.S. Bank National Association, as successor trustee, is incorporated by</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reference to our Quarterly Report on Form 10-Q for the fiscal quarter ended December 31, 2019</w:t>
            </w:r>
          </w:p>
        </w:tc>
      </w:tr>
      <w:tr>
        <w:trPr>
          <w:trHeight w:val="237"/>
        </w:trPr>
        <w:tc>
          <w:tcPr>
            <w:tcW w:w="680" w:type="dxa"/>
            <w:vAlign w:val="bottom"/>
          </w:tcPr>
          <w:p>
            <w:pPr>
              <w:spacing w:after="0"/>
              <w:rPr>
                <w:rFonts w:ascii="Arial" w:cs="Arial" w:eastAsia="Arial" w:hAnsi="Arial"/>
                <w:sz w:val="16"/>
                <w:szCs w:val="16"/>
                <w:u w:val="single" w:color="auto"/>
                <w:color w:val="0000FF"/>
              </w:rPr>
            </w:pPr>
            <w:hyperlink r:id="rId39">
              <w:r>
                <w:rPr>
                  <w:rFonts w:ascii="Arial" w:cs="Arial" w:eastAsia="Arial" w:hAnsi="Arial"/>
                  <w:sz w:val="16"/>
                  <w:szCs w:val="16"/>
                  <w:u w:val="single" w:color="auto"/>
                  <w:color w:val="0000FF"/>
                </w:rPr>
                <w:t>4.3</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Third Supplemental Indenture, dated as of February 13, 2020, with respect to the 7.0% senior notes due 2026,</w:t>
            </w:r>
          </w:p>
        </w:tc>
      </w:tr>
      <w:tr>
        <w:trPr>
          <w:trHeight w:val="189"/>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between Cimpress plc, the guarantors party thereto and U.S. Bank National Association, as successor trustee is incorporated by reference to</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our Current Report on Form 8-K filed with the SEC on February 18, 2020</w:t>
            </w:r>
          </w:p>
        </w:tc>
      </w:tr>
      <w:tr>
        <w:trPr>
          <w:trHeight w:val="426"/>
        </w:trPr>
        <w:tc>
          <w:tcPr>
            <w:tcW w:w="680" w:type="dxa"/>
            <w:vAlign w:val="bottom"/>
          </w:tcPr>
          <w:p>
            <w:pPr>
              <w:spacing w:after="0"/>
              <w:rPr>
                <w:rFonts w:ascii="Arial" w:cs="Arial" w:eastAsia="Arial" w:hAnsi="Arial"/>
                <w:sz w:val="16"/>
                <w:szCs w:val="16"/>
                <w:u w:val="single" w:color="auto"/>
                <w:color w:val="0000FF"/>
              </w:rPr>
            </w:pPr>
            <w:hyperlink r:id="rId40">
              <w:r>
                <w:rPr>
                  <w:rFonts w:ascii="Arial" w:cs="Arial" w:eastAsia="Arial" w:hAnsi="Arial"/>
                  <w:sz w:val="16"/>
                  <w:szCs w:val="16"/>
                  <w:u w:val="single" w:color="auto"/>
                  <w:color w:val="0000FF"/>
                </w:rPr>
                <w:t>4.4</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Senior Secured Notes Indenture (including form of 12.0% senior secured second lien notes due 2025), dated as of May 1, 2020, among</w:t>
            </w:r>
          </w:p>
        </w:tc>
      </w:tr>
      <w:tr>
        <w:trPr>
          <w:trHeight w:val="189"/>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Cimpress plc, the guarantors party thereto, and U.S. Bank National Association, as trustee and collateral agent, is incorporated by reference to</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our Current Report on Form 8-K filed with the SEC on May 4, 2020</w:t>
            </w:r>
          </w:p>
        </w:tc>
      </w:tr>
      <w:tr>
        <w:trPr>
          <w:trHeight w:val="243"/>
        </w:trPr>
        <w:tc>
          <w:tcPr>
            <w:tcW w:w="680" w:type="dxa"/>
            <w:vAlign w:val="bottom"/>
          </w:tcPr>
          <w:p>
            <w:pPr>
              <w:spacing w:after="0"/>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4.5</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Form of Warrant is incorporated by reference to our Current Report on Form 8-K filed with the SEC on May 4, 2020</w:t>
            </w:r>
          </w:p>
        </w:tc>
      </w:tr>
      <w:tr>
        <w:trPr>
          <w:trHeight w:val="270"/>
        </w:trPr>
        <w:tc>
          <w:tcPr>
            <w:tcW w:w="680" w:type="dxa"/>
            <w:vAlign w:val="bottom"/>
          </w:tcPr>
          <w:p>
            <w:pPr>
              <w:spacing w:after="0"/>
              <w:rPr>
                <w:rFonts w:ascii="Arial" w:cs="Arial" w:eastAsia="Arial" w:hAnsi="Arial"/>
                <w:sz w:val="16"/>
                <w:szCs w:val="16"/>
                <w:u w:val="single" w:color="auto"/>
                <w:color w:val="0000FF"/>
              </w:rPr>
            </w:pPr>
            <w:hyperlink w:anchor="page122">
              <w:r>
                <w:rPr>
                  <w:rFonts w:ascii="Arial" w:cs="Arial" w:eastAsia="Arial" w:hAnsi="Arial"/>
                  <w:sz w:val="16"/>
                  <w:szCs w:val="16"/>
                  <w:u w:val="single" w:color="auto"/>
                  <w:color w:val="0000FF"/>
                </w:rPr>
                <w:t>4.6</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Description of registered securities of Cimpress plc</w:t>
            </w:r>
          </w:p>
        </w:tc>
      </w:tr>
      <w:tr>
        <w:trPr>
          <w:trHeight w:val="264"/>
        </w:trPr>
        <w:tc>
          <w:tcPr>
            <w:tcW w:w="680" w:type="dxa"/>
            <w:vAlign w:val="bottom"/>
          </w:tcPr>
          <w:p>
            <w:pPr>
              <w:spacing w:after="0"/>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10.1*</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2005 Non-Employee Directors' Share Option Plan is incorporated by reference to our Current Report on Form 8-K filed with the SEC on</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December 3, 2019</w:t>
            </w:r>
          </w:p>
        </w:tc>
      </w:tr>
      <w:tr>
        <w:trPr>
          <w:trHeight w:val="237"/>
        </w:trPr>
        <w:tc>
          <w:tcPr>
            <w:tcW w:w="680" w:type="dxa"/>
            <w:vAlign w:val="bottom"/>
          </w:tcPr>
          <w:p>
            <w:pPr>
              <w:spacing w:after="0"/>
              <w:rPr>
                <w:rFonts w:ascii="Arial" w:cs="Arial" w:eastAsia="Arial" w:hAnsi="Arial"/>
                <w:sz w:val="16"/>
                <w:szCs w:val="16"/>
                <w:color w:val="0000FF"/>
              </w:rPr>
            </w:pPr>
            <w:hyperlink r:id="rId43">
              <w:r>
                <w:rPr>
                  <w:rFonts w:ascii="Arial" w:cs="Arial" w:eastAsia="Arial" w:hAnsi="Arial"/>
                  <w:sz w:val="16"/>
                  <w:szCs w:val="16"/>
                  <w:u w:val="single" w:color="auto"/>
                  <w:color w:val="0000FF"/>
                </w:rPr>
                <w:t>10.2</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Nonqualified Share Option Agreement under our 2005 Non-Employee Directors’ Share Option Plan is incorporated by reference to our</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Quarterly Report on Form 10-Q for the fiscal quarter ended September 30, 2009</w:t>
            </w:r>
          </w:p>
        </w:tc>
      </w:tr>
      <w:tr>
        <w:trPr>
          <w:trHeight w:val="237"/>
        </w:trPr>
        <w:tc>
          <w:tcPr>
            <w:tcW w:w="680" w:type="dxa"/>
            <w:vAlign w:val="bottom"/>
          </w:tcPr>
          <w:p>
            <w:pPr>
              <w:spacing w:after="0"/>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10.3*</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Amended and Restated 2005 Equity Incentive Plan is incorporated by reference to our Current Report on Form 8-K filed with the SEC on</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December 3, 2019</w:t>
            </w:r>
          </w:p>
        </w:tc>
      </w:tr>
      <w:tr>
        <w:trPr>
          <w:trHeight w:val="237"/>
        </w:trPr>
        <w:tc>
          <w:tcPr>
            <w:tcW w:w="680" w:type="dxa"/>
            <w:vAlign w:val="bottom"/>
          </w:tcPr>
          <w:p>
            <w:pPr>
              <w:spacing w:after="0"/>
              <w:rPr>
                <w:rFonts w:ascii="Arial" w:cs="Arial" w:eastAsia="Arial" w:hAnsi="Arial"/>
                <w:sz w:val="16"/>
                <w:szCs w:val="16"/>
                <w:color w:val="0000FF"/>
              </w:rPr>
            </w:pPr>
            <w:hyperlink r:id="rId45">
              <w:r>
                <w:rPr>
                  <w:rFonts w:ascii="Arial" w:cs="Arial" w:eastAsia="Arial" w:hAnsi="Arial"/>
                  <w:sz w:val="16"/>
                  <w:szCs w:val="16"/>
                  <w:u w:val="single" w:color="auto"/>
                  <w:color w:val="0000FF"/>
                </w:rPr>
                <w:t>10.4</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Nonqualified Share Option Agreement under our Amended and Restated 2005 Equity Incentive Plan is incorporated by reference to</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our Quarterly Report on Form 10-Q for the fiscal quarter ended September 30, 2009</w:t>
            </w:r>
          </w:p>
        </w:tc>
      </w:tr>
      <w:tr>
        <w:trPr>
          <w:trHeight w:val="243"/>
        </w:trPr>
        <w:tc>
          <w:tcPr>
            <w:tcW w:w="680" w:type="dxa"/>
            <w:vAlign w:val="bottom"/>
          </w:tcPr>
          <w:p>
            <w:pPr>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10.5*</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2011 Equity Incentive Plan is incorporated by reference to our Current Report on Form 8-K filed with the SEC on December 3, 2019</w:t>
            </w:r>
          </w:p>
        </w:tc>
      </w:tr>
      <w:tr>
        <w:trPr>
          <w:trHeight w:val="264"/>
        </w:trPr>
        <w:tc>
          <w:tcPr>
            <w:tcW w:w="680" w:type="dxa"/>
            <w:vAlign w:val="bottom"/>
          </w:tcPr>
          <w:p>
            <w:pPr>
              <w:spacing w:after="0"/>
              <w:rPr>
                <w:rFonts w:ascii="Arial" w:cs="Arial" w:eastAsia="Arial" w:hAnsi="Arial"/>
                <w:sz w:val="16"/>
                <w:szCs w:val="16"/>
                <w:color w:val="0000FF"/>
              </w:rPr>
            </w:pPr>
            <w:hyperlink r:id="rId47">
              <w:r>
                <w:rPr>
                  <w:rFonts w:ascii="Arial" w:cs="Arial" w:eastAsia="Arial" w:hAnsi="Arial"/>
                  <w:sz w:val="16"/>
                  <w:szCs w:val="16"/>
                  <w:u w:val="single" w:color="auto"/>
                  <w:color w:val="0000FF"/>
                </w:rPr>
                <w:t>10.6</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Nonqualified Share Option Agreement under our 2011 Equity Incentive Plan is incorporated by reference to our Quarterly Report on</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Form 10-Q for the fiscal quarter ended September 30, 2011</w:t>
            </w:r>
          </w:p>
        </w:tc>
      </w:tr>
      <w:tr>
        <w:trPr>
          <w:trHeight w:val="243"/>
        </w:trPr>
        <w:tc>
          <w:tcPr>
            <w:tcW w:w="680" w:type="dxa"/>
            <w:vAlign w:val="bottom"/>
          </w:tcPr>
          <w:p>
            <w:pPr>
              <w:spacing w:after="0"/>
              <w:rPr>
                <w:rFonts w:ascii="Arial" w:cs="Arial" w:eastAsia="Arial" w:hAnsi="Arial"/>
                <w:sz w:val="16"/>
                <w:szCs w:val="16"/>
                <w:color w:val="0000FF"/>
              </w:rPr>
            </w:pPr>
            <w:hyperlink w:anchor="page123">
              <w:r>
                <w:rPr>
                  <w:rFonts w:ascii="Arial" w:cs="Arial" w:eastAsia="Arial" w:hAnsi="Arial"/>
                  <w:sz w:val="16"/>
                  <w:szCs w:val="16"/>
                  <w:u w:val="single" w:color="auto"/>
                  <w:color w:val="0000FF"/>
                </w:rPr>
                <w:t>10.7</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Restricted Share Unit Agreement under our 2011 Equity Incentive Plan</w:t>
            </w:r>
          </w:p>
        </w:tc>
      </w:tr>
      <w:tr>
        <w:trPr>
          <w:trHeight w:val="237"/>
        </w:trPr>
        <w:tc>
          <w:tcPr>
            <w:tcW w:w="680" w:type="dxa"/>
            <w:vAlign w:val="bottom"/>
          </w:tcPr>
          <w:p>
            <w:pPr>
              <w:spacing w:after="0"/>
              <w:rPr>
                <w:rFonts w:ascii="Arial" w:cs="Arial" w:eastAsia="Arial" w:hAnsi="Arial"/>
                <w:sz w:val="16"/>
                <w:szCs w:val="16"/>
                <w:color w:val="0000FF"/>
              </w:rPr>
            </w:pPr>
            <w:hyperlink r:id="rId48">
              <w:r>
                <w:rPr>
                  <w:rFonts w:ascii="Arial" w:cs="Arial" w:eastAsia="Arial" w:hAnsi="Arial"/>
                  <w:sz w:val="16"/>
                  <w:szCs w:val="16"/>
                  <w:u w:val="single" w:color="auto"/>
                  <w:color w:val="0000FF"/>
                </w:rPr>
                <w:t>10.8</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Share Award Agreement under our 2011 Equity Incentive Plan with certain former Cimpress directors is incorporated by reference to</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Cimpress' Current Report on Form 8-K filed with the SEC on November 19, 2018</w:t>
            </w:r>
          </w:p>
        </w:tc>
      </w:tr>
      <w:tr>
        <w:trPr>
          <w:trHeight w:val="243"/>
        </w:trPr>
        <w:tc>
          <w:tcPr>
            <w:tcW w:w="680" w:type="dxa"/>
            <w:vAlign w:val="bottom"/>
          </w:tcPr>
          <w:p>
            <w:pPr>
              <w:spacing w:after="0"/>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10.9*</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2016 Performance Equity Plan is incorporated by reference to our Current Report on Form 8-K filed with the SEC on December 3, 2019</w:t>
            </w:r>
          </w:p>
        </w:tc>
      </w:tr>
      <w:tr>
        <w:trPr>
          <w:trHeight w:val="264"/>
        </w:trPr>
        <w:tc>
          <w:tcPr>
            <w:tcW w:w="680" w:type="dxa"/>
            <w:vAlign w:val="bottom"/>
          </w:tcPr>
          <w:p>
            <w:pPr>
              <w:spacing w:after="0"/>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10.10*</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Form of Performance Share Unit Agreement for employees and executives under our 2016 Performance Equity Incentive Plan is incorporated</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by reference to our Quarterly Report on Form 10-Q for the fiscal quarter ended December 31, 2019</w:t>
            </w:r>
          </w:p>
        </w:tc>
      </w:tr>
      <w:tr>
        <w:trPr>
          <w:trHeight w:val="237"/>
        </w:trPr>
        <w:tc>
          <w:tcPr>
            <w:tcW w:w="680" w:type="dxa"/>
            <w:vAlign w:val="bottom"/>
          </w:tcPr>
          <w:p>
            <w:pPr>
              <w:spacing w:after="0"/>
              <w:rPr>
                <w:rFonts w:ascii="Arial" w:cs="Arial" w:eastAsia="Arial" w:hAnsi="Arial"/>
                <w:sz w:val="16"/>
                <w:szCs w:val="16"/>
                <w:color w:val="0000FF"/>
              </w:rPr>
            </w:pPr>
            <w:hyperlink r:id="rId51">
              <w:r>
                <w:rPr>
                  <w:rFonts w:ascii="Arial" w:cs="Arial" w:eastAsia="Arial" w:hAnsi="Arial"/>
                  <w:sz w:val="16"/>
                  <w:szCs w:val="16"/>
                  <w:u w:val="single" w:color="auto"/>
                  <w:color w:val="0000FF"/>
                </w:rPr>
                <w:t>10.11</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Performance Share Unit Agreement for our Chief Executive Officer under our 2016 Performance Equity Incentive Plan is incorporated</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by reference to our Quarterly Report on Form 10-Q for the fiscal quarter ended December 31, 2019</w:t>
            </w:r>
          </w:p>
        </w:tc>
      </w:tr>
      <w:tr>
        <w:trPr>
          <w:trHeight w:val="237"/>
        </w:trPr>
        <w:tc>
          <w:tcPr>
            <w:tcW w:w="680" w:type="dxa"/>
            <w:vAlign w:val="bottom"/>
          </w:tcPr>
          <w:p>
            <w:pPr>
              <w:spacing w:after="0"/>
              <w:rPr>
                <w:rFonts w:ascii="Arial" w:cs="Arial" w:eastAsia="Arial" w:hAnsi="Arial"/>
                <w:sz w:val="16"/>
                <w:szCs w:val="16"/>
                <w:color w:val="0000FF"/>
              </w:rPr>
            </w:pPr>
            <w:hyperlink r:id="rId52">
              <w:r>
                <w:rPr>
                  <w:rFonts w:ascii="Arial" w:cs="Arial" w:eastAsia="Arial" w:hAnsi="Arial"/>
                  <w:sz w:val="16"/>
                  <w:szCs w:val="16"/>
                  <w:u w:val="single" w:color="auto"/>
                  <w:color w:val="0000FF"/>
                </w:rPr>
                <w:t>10.12</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Performance Share Unit Agreement for members of our Board of Directors under our 2016 Performance Equity Incentive Plan is</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incorporated by reference to our Quarterly Report on Form 10-Q for the fiscal quarter ended December 31, 2019</w:t>
            </w:r>
          </w:p>
        </w:tc>
      </w:tr>
      <w:tr>
        <w:trPr>
          <w:trHeight w:val="237"/>
        </w:trPr>
        <w:tc>
          <w:tcPr>
            <w:tcW w:w="680" w:type="dxa"/>
            <w:vAlign w:val="bottom"/>
          </w:tcPr>
          <w:p>
            <w:pPr>
              <w:spacing w:after="0"/>
              <w:rPr>
                <w:rFonts w:ascii="Arial" w:cs="Arial" w:eastAsia="Arial" w:hAnsi="Arial"/>
                <w:sz w:val="16"/>
                <w:szCs w:val="16"/>
                <w:color w:val="0000FF"/>
              </w:rPr>
            </w:pPr>
            <w:hyperlink r:id="rId53">
              <w:r>
                <w:rPr>
                  <w:rFonts w:ascii="Arial" w:cs="Arial" w:eastAsia="Arial" w:hAnsi="Arial"/>
                  <w:sz w:val="16"/>
                  <w:szCs w:val="16"/>
                  <w:u w:val="single" w:color="auto"/>
                  <w:color w:val="0000FF"/>
                </w:rPr>
                <w:t>10.13</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Supplemental Performance Share Unit Agreement for employees and executives under our 2016 Performance Equity Incentive Plan is</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incorporated by reference to our Quarterly Report on Form 10-Q for the fiscal quarter ended September 30, 2017</w:t>
            </w:r>
          </w:p>
        </w:tc>
      </w:tr>
      <w:tr>
        <w:trPr>
          <w:trHeight w:val="243"/>
        </w:trPr>
        <w:tc>
          <w:tcPr>
            <w:tcW w:w="680" w:type="dxa"/>
            <w:vAlign w:val="bottom"/>
          </w:tcPr>
          <w:p>
            <w:pPr>
              <w:spacing w:after="0"/>
              <w:rPr>
                <w:rFonts w:ascii="Arial" w:cs="Arial" w:eastAsia="Arial" w:hAnsi="Arial"/>
                <w:sz w:val="16"/>
                <w:szCs w:val="16"/>
                <w:color w:val="0000FF"/>
              </w:rPr>
            </w:pPr>
            <w:hyperlink r:id="rId54">
              <w:r>
                <w:rPr>
                  <w:rFonts w:ascii="Arial" w:cs="Arial" w:eastAsia="Arial" w:hAnsi="Arial"/>
                  <w:sz w:val="16"/>
                  <w:szCs w:val="16"/>
                  <w:u w:val="single" w:color="auto"/>
                  <w:color w:val="0000FF"/>
                </w:rPr>
                <w:t>10.14</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2015 Inducement Share Plan is incorporated by reference to our Annual Report on Form 10-K for the fiscal year ended June 30, 2015</w:t>
            </w:r>
          </w:p>
        </w:tc>
      </w:tr>
      <w:tr>
        <w:trPr>
          <w:trHeight w:val="237"/>
        </w:trPr>
        <w:tc>
          <w:tcPr>
            <w:tcW w:w="680" w:type="dxa"/>
            <w:vAlign w:val="bottom"/>
          </w:tcPr>
          <w:p>
            <w:pPr>
              <w:spacing w:after="0"/>
              <w:rPr>
                <w:rFonts w:ascii="Arial" w:cs="Arial" w:eastAsia="Arial" w:hAnsi="Arial"/>
                <w:sz w:val="16"/>
                <w:szCs w:val="16"/>
                <w:color w:val="0000FF"/>
              </w:rPr>
            </w:pPr>
            <w:hyperlink r:id="rId55">
              <w:r>
                <w:rPr>
                  <w:rFonts w:ascii="Arial" w:cs="Arial" w:eastAsia="Arial" w:hAnsi="Arial"/>
                  <w:sz w:val="16"/>
                  <w:szCs w:val="16"/>
                  <w:u w:val="single" w:color="auto"/>
                  <w:color w:val="0000FF"/>
                </w:rPr>
                <w:t>10.15</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Restricted Share Award Agreement under 2015 Inducement Share Plan is incorporated by reference to our Annual Report on Form 10-</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K for the fiscal year ended June 30, 2015</w:t>
            </w:r>
          </w:p>
        </w:tc>
      </w:tr>
      <w:tr>
        <w:trPr>
          <w:trHeight w:val="237"/>
        </w:trPr>
        <w:tc>
          <w:tcPr>
            <w:tcW w:w="680" w:type="dxa"/>
            <w:vAlign w:val="bottom"/>
          </w:tcPr>
          <w:p>
            <w:pPr>
              <w:spacing w:after="0"/>
              <w:rPr>
                <w:rFonts w:ascii="Arial" w:cs="Arial" w:eastAsia="Arial" w:hAnsi="Arial"/>
                <w:sz w:val="16"/>
                <w:szCs w:val="16"/>
                <w:color w:val="0000FF"/>
              </w:rPr>
            </w:pPr>
            <w:hyperlink r:id="rId56">
              <w:r>
                <w:rPr>
                  <w:rFonts w:ascii="Arial" w:cs="Arial" w:eastAsia="Arial" w:hAnsi="Arial"/>
                  <w:sz w:val="16"/>
                  <w:szCs w:val="16"/>
                  <w:u w:val="single" w:color="auto"/>
                  <w:color w:val="0000FF"/>
                </w:rPr>
                <w:t>10.16</w:t>
              </w:r>
            </w:hyperlink>
            <w:r>
              <w:rPr>
                <w:rFonts w:ascii="Arial" w:cs="Arial" w:eastAsia="Arial" w:hAnsi="Arial"/>
                <w:sz w:val="16"/>
                <w:szCs w:val="16"/>
                <w:color w:val="000000"/>
              </w:rPr>
              <w:t>*</w:t>
            </w:r>
          </w:p>
        </w:tc>
        <w:tc>
          <w:tcPr>
            <w:tcW w:w="10500" w:type="dxa"/>
            <w:vAlign w:val="bottom"/>
          </w:tcPr>
          <w:p>
            <w:pPr>
              <w:ind w:left="220"/>
              <w:spacing w:after="0"/>
              <w:rPr>
                <w:sz w:val="20"/>
                <w:szCs w:val="20"/>
                <w:color w:val="auto"/>
              </w:rPr>
            </w:pPr>
            <w:r>
              <w:rPr>
                <w:rFonts w:ascii="Arial" w:cs="Arial" w:eastAsia="Arial" w:hAnsi="Arial"/>
                <w:sz w:val="16"/>
                <w:szCs w:val="16"/>
                <w:color w:val="auto"/>
              </w:rPr>
              <w:t>Form of Deed of Indemnification between Cimpress plc and each of its directors is incorporated by reference to our Current Report on Form 8-</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K filed with the SEC on January 29, 2020</w:t>
            </w:r>
          </w:p>
        </w:tc>
      </w:tr>
      <w:tr>
        <w:trPr>
          <w:trHeight w:val="237"/>
        </w:trPr>
        <w:tc>
          <w:tcPr>
            <w:tcW w:w="680" w:type="dxa"/>
            <w:vAlign w:val="bottom"/>
          </w:tcPr>
          <w:p>
            <w:pPr>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10.17*</w:t>
              </w:r>
            </w:hyperlink>
          </w:p>
        </w:tc>
        <w:tc>
          <w:tcPr>
            <w:tcW w:w="10500" w:type="dxa"/>
            <w:vAlign w:val="bottom"/>
          </w:tcPr>
          <w:p>
            <w:pPr>
              <w:ind w:left="220"/>
              <w:spacing w:after="0"/>
              <w:rPr>
                <w:sz w:val="20"/>
                <w:szCs w:val="20"/>
                <w:color w:val="auto"/>
              </w:rPr>
            </w:pPr>
            <w:r>
              <w:rPr>
                <w:rFonts w:ascii="Arial" w:cs="Arial" w:eastAsia="Arial" w:hAnsi="Arial"/>
                <w:sz w:val="16"/>
                <w:szCs w:val="16"/>
                <w:color w:val="auto"/>
              </w:rPr>
              <w:t>Form of Deed of Indemnification between Cimpress plc and each executive officer is incorporated by reference to our Current Report on Form</w:t>
            </w:r>
          </w:p>
        </w:tc>
      </w:tr>
      <w:tr>
        <w:trPr>
          <w:trHeight w:val="195"/>
        </w:trPr>
        <w:tc>
          <w:tcPr>
            <w:tcW w:w="680" w:type="dxa"/>
            <w:vAlign w:val="bottom"/>
          </w:tcPr>
          <w:p>
            <w:pPr>
              <w:spacing w:after="0"/>
              <w:rPr>
                <w:sz w:val="16"/>
                <w:szCs w:val="16"/>
                <w:color w:val="auto"/>
              </w:rPr>
            </w:pPr>
          </w:p>
        </w:tc>
        <w:tc>
          <w:tcPr>
            <w:tcW w:w="10500" w:type="dxa"/>
            <w:vAlign w:val="bottom"/>
          </w:tcPr>
          <w:p>
            <w:pPr>
              <w:ind w:left="220"/>
              <w:spacing w:after="0"/>
              <w:rPr>
                <w:sz w:val="20"/>
                <w:szCs w:val="20"/>
                <w:color w:val="auto"/>
              </w:rPr>
            </w:pPr>
            <w:r>
              <w:rPr>
                <w:rFonts w:ascii="Arial" w:cs="Arial" w:eastAsia="Arial" w:hAnsi="Arial"/>
                <w:sz w:val="16"/>
                <w:szCs w:val="16"/>
                <w:color w:val="auto"/>
              </w:rPr>
              <w:t>8-K filed with the SEC on January 29, 2020</w:t>
            </w:r>
          </w:p>
        </w:tc>
      </w:tr>
      <w:tr>
        <w:trPr>
          <w:trHeight w:val="451"/>
        </w:trPr>
        <w:tc>
          <w:tcPr>
            <w:tcW w:w="680" w:type="dxa"/>
            <w:vAlign w:val="bottom"/>
          </w:tcPr>
          <w:p>
            <w:pPr>
              <w:spacing w:after="0"/>
              <w:rPr>
                <w:sz w:val="24"/>
                <w:szCs w:val="24"/>
                <w:color w:val="auto"/>
              </w:rPr>
            </w:pPr>
          </w:p>
        </w:tc>
        <w:tc>
          <w:tcPr>
            <w:tcW w:w="10500" w:type="dxa"/>
            <w:vAlign w:val="bottom"/>
          </w:tcPr>
          <w:p>
            <w:pPr>
              <w:ind w:left="4760"/>
              <w:spacing w:after="0"/>
              <w:rPr>
                <w:sz w:val="20"/>
                <w:szCs w:val="20"/>
                <w:color w:val="auto"/>
              </w:rPr>
            </w:pPr>
            <w:r>
              <w:rPr>
                <w:rFonts w:ascii="Arial" w:cs="Arial" w:eastAsia="Arial" w:hAnsi="Arial"/>
                <w:sz w:val="18"/>
                <w:szCs w:val="18"/>
                <w:color w:val="auto"/>
              </w:rPr>
              <w:t>115</w:t>
            </w:r>
          </w:p>
        </w:tc>
      </w:tr>
    </w:tbl>
    <w:p>
      <w:pPr>
        <w:sectPr>
          <w:pgSz w:w="11900" w:h="16838" w:orient="portrait"/>
          <w:cols w:equalWidth="0" w:num="1">
            <w:col w:w="11220"/>
          </w:cols>
          <w:pgMar w:left="320" w:top="336" w:right="359" w:bottom="1440" w:gutter="0" w:footer="0" w:header="0"/>
        </w:sectPr>
      </w:pPr>
    </w:p>
    <w:bookmarkStart w:id="118" w:name="page119"/>
    <w:bookmarkEnd w:id="118"/>
    <w:p>
      <w:pPr>
        <w:ind w:left="900" w:right="60" w:hanging="903"/>
        <w:spacing w:after="0" w:line="260" w:lineRule="auto"/>
        <w:tabs>
          <w:tab w:leader="none" w:pos="880" w:val="left"/>
        </w:tabs>
        <w:rPr>
          <w:rFonts w:ascii="Arial" w:cs="Arial" w:eastAsia="Arial" w:hAnsi="Arial"/>
          <w:sz w:val="16"/>
          <w:szCs w:val="16"/>
          <w:color w:val="0000FF"/>
        </w:rPr>
      </w:pPr>
      <w:hyperlink r:id="rId58">
        <w:r>
          <w:rPr>
            <w:rFonts w:ascii="Arial" w:cs="Arial" w:eastAsia="Arial" w:hAnsi="Arial"/>
            <w:sz w:val="16"/>
            <w:szCs w:val="16"/>
            <w:u w:val="single" w:color="auto"/>
            <w:color w:val="0000FF"/>
          </w:rPr>
          <w:t>10.18*</w:t>
        </w:r>
      </w:hyperlink>
      <w:r>
        <w:rPr>
          <w:rFonts w:ascii="Arial" w:cs="Arial" w:eastAsia="Arial" w:hAnsi="Arial"/>
          <w:sz w:val="16"/>
          <w:szCs w:val="16"/>
          <w:color w:val="0000FF"/>
        </w:rPr>
        <w:tab/>
        <w:t>Form of Indemnification Agreement between Cimpress USA Incorporated and each director of Cimpress plc is incorporated by reference to our Current Report on Form 8-K filed with the SEC on January 29, 2020</w:t>
      </w:r>
    </w:p>
    <w:p>
      <w:pPr>
        <w:spacing w:after="0" w:line="33" w:lineRule="exact"/>
        <w:rPr>
          <w:sz w:val="20"/>
          <w:szCs w:val="20"/>
          <w:color w:val="auto"/>
        </w:rPr>
      </w:pPr>
    </w:p>
    <w:p>
      <w:pPr>
        <w:ind w:left="900" w:hanging="903"/>
        <w:spacing w:after="0" w:line="260" w:lineRule="auto"/>
        <w:tabs>
          <w:tab w:leader="none" w:pos="880" w:val="left"/>
        </w:tabs>
        <w:rPr>
          <w:rFonts w:ascii="Arial" w:cs="Arial" w:eastAsia="Arial" w:hAnsi="Arial"/>
          <w:sz w:val="16"/>
          <w:szCs w:val="16"/>
          <w:color w:val="0000FF"/>
        </w:rPr>
      </w:pPr>
      <w:hyperlink r:id="rId59">
        <w:r>
          <w:rPr>
            <w:rFonts w:ascii="Arial" w:cs="Arial" w:eastAsia="Arial" w:hAnsi="Arial"/>
            <w:sz w:val="16"/>
            <w:szCs w:val="16"/>
            <w:u w:val="single" w:color="auto"/>
            <w:color w:val="0000FF"/>
          </w:rPr>
          <w:t>10.19*</w:t>
        </w:r>
      </w:hyperlink>
      <w:r>
        <w:rPr>
          <w:rFonts w:ascii="Arial" w:cs="Arial" w:eastAsia="Arial" w:hAnsi="Arial"/>
          <w:sz w:val="16"/>
          <w:szCs w:val="16"/>
          <w:color w:val="0000FF"/>
        </w:rPr>
        <w:tab/>
        <w:t>Form of Indemnification Agreement between Cimpress USA Incorporated and each executive officer is incorporated by reference to our Current Report on Form 8-K filed with the SEC on January 29, 2020</w:t>
      </w:r>
    </w:p>
    <w:p>
      <w:pPr>
        <w:spacing w:after="0" w:line="33" w:lineRule="exact"/>
        <w:rPr>
          <w:sz w:val="20"/>
          <w:szCs w:val="20"/>
          <w:color w:val="auto"/>
        </w:rPr>
      </w:pPr>
    </w:p>
    <w:p>
      <w:pPr>
        <w:ind w:left="900" w:right="860" w:hanging="903"/>
        <w:spacing w:after="0" w:line="260" w:lineRule="auto"/>
        <w:tabs>
          <w:tab w:leader="none" w:pos="880" w:val="left"/>
        </w:tabs>
        <w:rPr>
          <w:rFonts w:ascii="Arial" w:cs="Arial" w:eastAsia="Arial" w:hAnsi="Arial"/>
          <w:sz w:val="16"/>
          <w:szCs w:val="16"/>
          <w:color w:val="0000FF"/>
        </w:rPr>
      </w:pPr>
      <w:hyperlink r:id="rId60">
        <w:r>
          <w:rPr>
            <w:rFonts w:ascii="Arial" w:cs="Arial" w:eastAsia="Arial" w:hAnsi="Arial"/>
            <w:sz w:val="16"/>
            <w:szCs w:val="16"/>
            <w:u w:val="single" w:color="auto"/>
            <w:color w:val="0000FF"/>
          </w:rPr>
          <w:t>10.17</w:t>
        </w:r>
      </w:hyperlink>
      <w:r>
        <w:rPr>
          <w:rFonts w:ascii="Arial" w:cs="Arial" w:eastAsia="Arial" w:hAnsi="Arial"/>
          <w:sz w:val="16"/>
          <w:szCs w:val="16"/>
          <w:color w:val="000000"/>
        </w:rPr>
        <w:t>*</w:t>
      </w:r>
      <w:r>
        <w:rPr>
          <w:rFonts w:ascii="Arial" w:cs="Arial" w:eastAsia="Arial" w:hAnsi="Arial"/>
          <w:sz w:val="16"/>
          <w:szCs w:val="16"/>
          <w:color w:val="0000FF"/>
        </w:rPr>
        <w:tab/>
        <w:t>Amended and Restated Executive Retention Agreement dated as of October 23, 2009 between Cimpress N.V. and Robert Keane is incorporated by reference to our Quarterly Report on Form 10-Q for the fiscal quarter ended September 30, 2009</w:t>
      </w:r>
    </w:p>
    <w:p>
      <w:pPr>
        <w:spacing w:after="0" w:line="33" w:lineRule="exact"/>
        <w:rPr>
          <w:sz w:val="20"/>
          <w:szCs w:val="20"/>
          <w:color w:val="auto"/>
        </w:rPr>
      </w:pPr>
    </w:p>
    <w:p>
      <w:pPr>
        <w:ind w:left="900" w:right="20" w:hanging="903"/>
        <w:spacing w:after="0" w:line="260" w:lineRule="auto"/>
        <w:tabs>
          <w:tab w:leader="none" w:pos="880" w:val="left"/>
        </w:tabs>
        <w:rPr>
          <w:rFonts w:ascii="Arial" w:cs="Arial" w:eastAsia="Arial" w:hAnsi="Arial"/>
          <w:sz w:val="16"/>
          <w:szCs w:val="16"/>
          <w:color w:val="0000FF"/>
        </w:rPr>
      </w:pPr>
      <w:hyperlink r:id="rId61">
        <w:r>
          <w:rPr>
            <w:rFonts w:ascii="Arial" w:cs="Arial" w:eastAsia="Arial" w:hAnsi="Arial"/>
            <w:sz w:val="16"/>
            <w:szCs w:val="16"/>
            <w:u w:val="single" w:color="auto"/>
            <w:color w:val="0000FF"/>
          </w:rPr>
          <w:t>10.18</w:t>
        </w:r>
      </w:hyperlink>
      <w:r>
        <w:rPr>
          <w:rFonts w:ascii="Arial" w:cs="Arial" w:eastAsia="Arial" w:hAnsi="Arial"/>
          <w:sz w:val="16"/>
          <w:szCs w:val="16"/>
          <w:color w:val="000000"/>
        </w:rPr>
        <w:t>*</w:t>
      </w:r>
      <w:r>
        <w:rPr>
          <w:rFonts w:ascii="Arial" w:cs="Arial" w:eastAsia="Arial" w:hAnsi="Arial"/>
          <w:sz w:val="16"/>
          <w:szCs w:val="16"/>
          <w:color w:val="0000FF"/>
        </w:rPr>
        <w:tab/>
        <w:t>Form of Executive Retention Agreement between Cimpress N.V. and each of Sean Quinn, and Maarten Wensveen is incorporated by reference to our Quarterly Report on Form 10-Q for the fiscal quarter ended September 30, 2016</w:t>
      </w:r>
    </w:p>
    <w:p>
      <w:pPr>
        <w:spacing w:after="0" w:line="33" w:lineRule="exact"/>
        <w:rPr>
          <w:sz w:val="20"/>
          <w:szCs w:val="20"/>
          <w:color w:val="auto"/>
        </w:rPr>
      </w:pPr>
    </w:p>
    <w:p>
      <w:pPr>
        <w:ind w:left="900" w:right="260" w:hanging="903"/>
        <w:spacing w:after="0" w:line="260" w:lineRule="auto"/>
        <w:tabs>
          <w:tab w:leader="none" w:pos="880" w:val="left"/>
        </w:tabs>
        <w:rPr>
          <w:rFonts w:ascii="Arial" w:cs="Arial" w:eastAsia="Arial" w:hAnsi="Arial"/>
          <w:sz w:val="16"/>
          <w:szCs w:val="16"/>
          <w:color w:val="0000FF"/>
        </w:rPr>
      </w:pPr>
      <w:hyperlink r:id="rId62">
        <w:r>
          <w:rPr>
            <w:rFonts w:ascii="Arial" w:cs="Arial" w:eastAsia="Arial" w:hAnsi="Arial"/>
            <w:sz w:val="16"/>
            <w:szCs w:val="16"/>
            <w:u w:val="single" w:color="auto"/>
            <w:color w:val="0000FF"/>
          </w:rPr>
          <w:t>10.19</w:t>
        </w:r>
      </w:hyperlink>
      <w:r>
        <w:rPr>
          <w:rFonts w:ascii="Arial" w:cs="Arial" w:eastAsia="Arial" w:hAnsi="Arial"/>
          <w:sz w:val="16"/>
          <w:szCs w:val="16"/>
          <w:color w:val="000000"/>
        </w:rPr>
        <w:t>*</w:t>
      </w:r>
      <w:r>
        <w:rPr>
          <w:rFonts w:ascii="Arial" w:cs="Arial" w:eastAsia="Arial" w:hAnsi="Arial"/>
          <w:sz w:val="16"/>
          <w:szCs w:val="16"/>
          <w:color w:val="0000FF"/>
        </w:rPr>
        <w:tab/>
        <w:t>Memorandum clarifying relative precedence of agreements dated May 6, 2010 between Cimpress N.V. and Robert Keane is incorporated by reference to our Annual Report on Form 10-K for the fiscal year ended June 30, 2010</w:t>
      </w:r>
    </w:p>
    <w:p>
      <w:pPr>
        <w:spacing w:after="0" w:line="33" w:lineRule="exact"/>
        <w:rPr>
          <w:sz w:val="20"/>
          <w:szCs w:val="20"/>
          <w:color w:val="auto"/>
        </w:rPr>
      </w:pPr>
    </w:p>
    <w:p>
      <w:pPr>
        <w:ind w:left="900" w:right="260" w:hanging="903"/>
        <w:spacing w:after="0" w:line="260" w:lineRule="auto"/>
        <w:tabs>
          <w:tab w:leader="none" w:pos="880" w:val="left"/>
        </w:tabs>
        <w:rPr>
          <w:rFonts w:ascii="Arial" w:cs="Arial" w:eastAsia="Arial" w:hAnsi="Arial"/>
          <w:sz w:val="16"/>
          <w:szCs w:val="16"/>
          <w:color w:val="0000FF"/>
        </w:rPr>
      </w:pPr>
      <w:hyperlink r:id="rId63">
        <w:r>
          <w:rPr>
            <w:rFonts w:ascii="Arial" w:cs="Arial" w:eastAsia="Arial" w:hAnsi="Arial"/>
            <w:sz w:val="16"/>
            <w:szCs w:val="16"/>
            <w:u w:val="single" w:color="auto"/>
            <w:color w:val="0000FF"/>
          </w:rPr>
          <w:t>10.20</w:t>
        </w:r>
      </w:hyperlink>
      <w:r>
        <w:rPr>
          <w:rFonts w:ascii="Arial" w:cs="Arial" w:eastAsia="Arial" w:hAnsi="Arial"/>
          <w:sz w:val="16"/>
          <w:szCs w:val="16"/>
          <w:color w:val="000000"/>
        </w:rPr>
        <w:t>*</w:t>
      </w:r>
      <w:r>
        <w:rPr>
          <w:rFonts w:ascii="Arial" w:cs="Arial" w:eastAsia="Arial" w:hAnsi="Arial"/>
          <w:sz w:val="16"/>
          <w:szCs w:val="16"/>
          <w:color w:val="0000FF"/>
        </w:rPr>
        <w:tab/>
        <w:t>Agreement Limiting PSU Awards dated May 13, 2016 between Cimpress N.V. and Robert Keane is incorporated by reference to our Current Report on Form 8-K filed with the SEC on May 17, 2016</w:t>
      </w:r>
    </w:p>
    <w:p>
      <w:pPr>
        <w:spacing w:after="0" w:line="33" w:lineRule="exact"/>
        <w:rPr>
          <w:sz w:val="20"/>
          <w:szCs w:val="20"/>
          <w:color w:val="auto"/>
        </w:rPr>
      </w:pPr>
    </w:p>
    <w:p>
      <w:pPr>
        <w:ind w:left="900" w:right="480" w:hanging="903"/>
        <w:spacing w:after="0" w:line="260" w:lineRule="auto"/>
        <w:tabs>
          <w:tab w:leader="none" w:pos="880" w:val="left"/>
        </w:tabs>
        <w:rPr>
          <w:rFonts w:ascii="Arial" w:cs="Arial" w:eastAsia="Arial" w:hAnsi="Arial"/>
          <w:sz w:val="16"/>
          <w:szCs w:val="16"/>
          <w:color w:val="0000FF"/>
        </w:rPr>
      </w:pPr>
      <w:hyperlink r:id="rId64">
        <w:r>
          <w:rPr>
            <w:rFonts w:ascii="Arial" w:cs="Arial" w:eastAsia="Arial" w:hAnsi="Arial"/>
            <w:sz w:val="16"/>
            <w:szCs w:val="16"/>
            <w:u w:val="single" w:color="auto"/>
            <w:color w:val="0000FF"/>
          </w:rPr>
          <w:t>10.21</w:t>
        </w:r>
      </w:hyperlink>
      <w:r>
        <w:rPr>
          <w:rFonts w:ascii="Arial" w:cs="Arial" w:eastAsia="Arial" w:hAnsi="Arial"/>
          <w:sz w:val="16"/>
          <w:szCs w:val="16"/>
          <w:color w:val="000000"/>
        </w:rPr>
        <w:t>*</w:t>
      </w:r>
      <w:r>
        <w:rPr>
          <w:rFonts w:ascii="Arial" w:cs="Arial" w:eastAsia="Arial" w:hAnsi="Arial"/>
          <w:sz w:val="16"/>
          <w:szCs w:val="16"/>
          <w:color w:val="0000FF"/>
        </w:rPr>
        <w:tab/>
        <w:t>Form of Invention and Non-Disclosure Agreement between Cimpress and each of Robert Keane, Sean Quinn, and Maarten Wensveen is incorporated by reference to our Registration Statement on Form S-1, as amended</w:t>
      </w:r>
    </w:p>
    <w:p>
      <w:pPr>
        <w:spacing w:after="0" w:line="33" w:lineRule="exact"/>
        <w:rPr>
          <w:sz w:val="20"/>
          <w:szCs w:val="20"/>
          <w:color w:val="auto"/>
        </w:rPr>
      </w:pPr>
    </w:p>
    <w:p>
      <w:pPr>
        <w:ind w:left="900" w:right="60" w:hanging="903"/>
        <w:spacing w:after="0" w:line="260" w:lineRule="auto"/>
        <w:tabs>
          <w:tab w:leader="none" w:pos="880" w:val="left"/>
        </w:tabs>
        <w:rPr>
          <w:rFonts w:ascii="Arial" w:cs="Arial" w:eastAsia="Arial" w:hAnsi="Arial"/>
          <w:sz w:val="16"/>
          <w:szCs w:val="16"/>
          <w:color w:val="0000FF"/>
        </w:rPr>
      </w:pPr>
      <w:hyperlink r:id="rId65">
        <w:r>
          <w:rPr>
            <w:rFonts w:ascii="Arial" w:cs="Arial" w:eastAsia="Arial" w:hAnsi="Arial"/>
            <w:sz w:val="16"/>
            <w:szCs w:val="16"/>
            <w:u w:val="single" w:color="auto"/>
            <w:color w:val="0000FF"/>
          </w:rPr>
          <w:t>10.22</w:t>
        </w:r>
      </w:hyperlink>
      <w:r>
        <w:rPr>
          <w:rFonts w:ascii="Arial" w:cs="Arial" w:eastAsia="Arial" w:hAnsi="Arial"/>
          <w:sz w:val="16"/>
          <w:szCs w:val="16"/>
          <w:color w:val="000000"/>
        </w:rPr>
        <w:t>*</w:t>
      </w:r>
      <w:r>
        <w:rPr>
          <w:rFonts w:ascii="Arial" w:cs="Arial" w:eastAsia="Arial" w:hAnsi="Arial"/>
          <w:sz w:val="16"/>
          <w:szCs w:val="16"/>
          <w:color w:val="0000FF"/>
        </w:rPr>
        <w:tab/>
        <w:t>Form of Non-Competition and Non-Solicitation Agreement between Cimpress and each of Robert Keane, Sean Quinn, and Maarten Wensveen is incorporated by reference to our Registration Statement on Form S-1, as amended</w:t>
      </w:r>
    </w:p>
    <w:p>
      <w:pPr>
        <w:spacing w:after="0" w:line="33" w:lineRule="exact"/>
        <w:rPr>
          <w:sz w:val="20"/>
          <w:szCs w:val="20"/>
          <w:color w:val="auto"/>
        </w:rPr>
      </w:pPr>
    </w:p>
    <w:p>
      <w:pPr>
        <w:ind w:left="900" w:right="140" w:hanging="903"/>
        <w:spacing w:after="0" w:line="249" w:lineRule="auto"/>
        <w:tabs>
          <w:tab w:leader="none" w:pos="880" w:val="left"/>
        </w:tabs>
        <w:rPr>
          <w:rFonts w:ascii="Arial" w:cs="Arial" w:eastAsia="Arial" w:hAnsi="Arial"/>
          <w:sz w:val="16"/>
          <w:szCs w:val="16"/>
          <w:color w:val="0000FF"/>
        </w:rPr>
      </w:pPr>
      <w:hyperlink r:id="rId66">
        <w:r>
          <w:rPr>
            <w:rFonts w:ascii="Arial" w:cs="Arial" w:eastAsia="Arial" w:hAnsi="Arial"/>
            <w:sz w:val="16"/>
            <w:szCs w:val="16"/>
            <w:u w:val="single" w:color="auto"/>
            <w:color w:val="0000FF"/>
          </w:rPr>
          <w:t>10.23</w:t>
        </w:r>
      </w:hyperlink>
      <w:r>
        <w:rPr>
          <w:rFonts w:ascii="Arial" w:cs="Arial" w:eastAsia="Arial" w:hAnsi="Arial"/>
          <w:sz w:val="16"/>
          <w:szCs w:val="16"/>
          <w:color w:val="0000FF"/>
        </w:rPr>
        <w:tab/>
        <w:t>Amendment and Restatement Agreement dated as of July 13, 2017 among Cimpress plc (as successor to Cimpress N.V.), Vistaprint Limited, Cimpress Schweiz GmbH, Vistaprint B.V., and Cimpress USA Incorporated, as borrowers (the “Borrowers”); the lenders named therein as lenders; and JPMorgan Chase Bank N.A., as administrative agent for the lenders (the “Administrative Agent”), which amends and restates the senior Credit Agreement dated as of October 21, 2011, as amended and restated as of February 8, 2013, among the Borrowers, the lenders named therein, and the Administrative Agent, is incorporated by reference to our Current Report on Form 8-K filed with the SEC on July 14, 2017</w:t>
      </w:r>
    </w:p>
    <w:p>
      <w:pPr>
        <w:spacing w:after="0" w:line="43" w:lineRule="exact"/>
        <w:rPr>
          <w:sz w:val="20"/>
          <w:szCs w:val="20"/>
          <w:color w:val="auto"/>
        </w:rPr>
      </w:pPr>
    </w:p>
    <w:p>
      <w:pPr>
        <w:ind w:left="900" w:right="200" w:hanging="903"/>
        <w:spacing w:after="0" w:line="251" w:lineRule="auto"/>
        <w:tabs>
          <w:tab w:leader="none" w:pos="880" w:val="left"/>
        </w:tabs>
        <w:rPr>
          <w:rFonts w:ascii="Arial" w:cs="Arial" w:eastAsia="Arial" w:hAnsi="Arial"/>
          <w:sz w:val="16"/>
          <w:szCs w:val="16"/>
          <w:color w:val="0000FF"/>
        </w:rPr>
      </w:pPr>
      <w:hyperlink r:id="rId67">
        <w:r>
          <w:rPr>
            <w:rFonts w:ascii="Arial" w:cs="Arial" w:eastAsia="Arial" w:hAnsi="Arial"/>
            <w:sz w:val="16"/>
            <w:szCs w:val="16"/>
            <w:u w:val="single" w:color="auto"/>
            <w:color w:val="0000FF"/>
          </w:rPr>
          <w:t>10.24</w:t>
        </w:r>
      </w:hyperlink>
      <w:r>
        <w:rPr>
          <w:rFonts w:ascii="Arial" w:cs="Arial" w:eastAsia="Arial" w:hAnsi="Arial"/>
          <w:sz w:val="16"/>
          <w:szCs w:val="16"/>
          <w:color w:val="0000FF"/>
        </w:rPr>
        <w:tab/>
        <w:t>Amendment No. 1, dated as of June 14, 2018, among the Borrowers, as borrowers; the lenders named therein as lenders; and the Administrative Agent, as administrative agent for the lenders, to the senior Credit Agreement dated as of October 21, 2011, as amended and restated as of February 8, 2013, and as further amended and restated as of July 13, 2017, among the Borrowers, the lenders named therein, and the Administrative Agent, is incorporated by reference to our Current Report on Form 8-K filed with the SEC on June 18, 2018</w:t>
      </w:r>
    </w:p>
    <w:p>
      <w:pPr>
        <w:spacing w:after="0" w:line="40" w:lineRule="exact"/>
        <w:rPr>
          <w:sz w:val="20"/>
          <w:szCs w:val="20"/>
          <w:color w:val="auto"/>
        </w:rPr>
      </w:pPr>
    </w:p>
    <w:p>
      <w:pPr>
        <w:ind w:left="900" w:right="200" w:hanging="903"/>
        <w:spacing w:after="0" w:line="251" w:lineRule="auto"/>
        <w:tabs>
          <w:tab w:leader="none" w:pos="880" w:val="left"/>
        </w:tabs>
        <w:rPr>
          <w:rFonts w:ascii="Arial" w:cs="Arial" w:eastAsia="Arial" w:hAnsi="Arial"/>
          <w:sz w:val="16"/>
          <w:szCs w:val="16"/>
          <w:color w:val="0000FF"/>
        </w:rPr>
      </w:pPr>
      <w:hyperlink r:id="rId68">
        <w:r>
          <w:rPr>
            <w:rFonts w:ascii="Arial" w:cs="Arial" w:eastAsia="Arial" w:hAnsi="Arial"/>
            <w:sz w:val="16"/>
            <w:szCs w:val="16"/>
            <w:u w:val="single" w:color="auto"/>
            <w:color w:val="0000FF"/>
          </w:rPr>
          <w:t>10.25</w:t>
        </w:r>
      </w:hyperlink>
      <w:r>
        <w:rPr>
          <w:rFonts w:ascii="Arial" w:cs="Arial" w:eastAsia="Arial" w:hAnsi="Arial"/>
          <w:sz w:val="16"/>
          <w:szCs w:val="16"/>
          <w:color w:val="0000FF"/>
        </w:rPr>
        <w:tab/>
        <w:t>Amendment No. 2, dated as of January 7, 2019, among the Borrowers, as borrowers; the financial institutions named therein; and the Administrative Agent, as administrative agent for the lenders, to the senior Credit Agreement dated as of October 21, 2011, as amended and restated as of February 8, 2013, and as further amended and restated as of July 13, 2017, among the Borrowers, the lenders named therein, and the Administrative Agent, is incorporated by reference to our Current Report on Form 8-K filed with the SEC on January 8, 2019</w:t>
      </w:r>
    </w:p>
    <w:p>
      <w:pPr>
        <w:spacing w:after="0" w:line="40" w:lineRule="exact"/>
        <w:rPr>
          <w:sz w:val="20"/>
          <w:szCs w:val="20"/>
          <w:color w:val="auto"/>
        </w:rPr>
      </w:pPr>
    </w:p>
    <w:p>
      <w:pPr>
        <w:ind w:left="900" w:right="220" w:hanging="903"/>
        <w:spacing w:after="0" w:line="251" w:lineRule="auto"/>
        <w:tabs>
          <w:tab w:leader="none" w:pos="880" w:val="left"/>
        </w:tabs>
        <w:rPr>
          <w:rFonts w:ascii="Arial" w:cs="Arial" w:eastAsia="Arial" w:hAnsi="Arial"/>
          <w:sz w:val="16"/>
          <w:szCs w:val="16"/>
          <w:color w:val="0000FF"/>
        </w:rPr>
      </w:pPr>
      <w:hyperlink r:id="rId69">
        <w:r>
          <w:rPr>
            <w:rFonts w:ascii="Arial" w:cs="Arial" w:eastAsia="Arial" w:hAnsi="Arial"/>
            <w:sz w:val="16"/>
            <w:szCs w:val="16"/>
            <w:u w:val="single" w:color="auto"/>
            <w:color w:val="0000FF"/>
          </w:rPr>
          <w:t>10.26</w:t>
        </w:r>
      </w:hyperlink>
      <w:r>
        <w:rPr>
          <w:rFonts w:ascii="Arial" w:cs="Arial" w:eastAsia="Arial" w:hAnsi="Arial"/>
          <w:sz w:val="16"/>
          <w:szCs w:val="16"/>
          <w:color w:val="0000FF"/>
        </w:rPr>
        <w:tab/>
        <w:t>Amendment No. 3, dated as of February 13, 2020, among the Borrowers, as borrowers; the lenders named therein as lenders; and the Administrative Agent, as administrative agent for the lenders, to the senior Credit Agreement dated as of October 21, 2011, as amended and restated as of February 8, 2013, as further amended and restated as of July 13, 2017, and as further previously amended, is incorporated by reference to our Current Report on Form 8-K filed with the SEC on February 18, 2020</w:t>
      </w:r>
    </w:p>
    <w:p>
      <w:pPr>
        <w:spacing w:after="0" w:line="40" w:lineRule="exact"/>
        <w:rPr>
          <w:sz w:val="20"/>
          <w:szCs w:val="20"/>
          <w:color w:val="auto"/>
        </w:rPr>
      </w:pPr>
    </w:p>
    <w:p>
      <w:pPr>
        <w:ind w:left="900" w:right="220" w:hanging="903"/>
        <w:spacing w:after="0" w:line="251" w:lineRule="auto"/>
        <w:tabs>
          <w:tab w:leader="none" w:pos="880" w:val="left"/>
        </w:tabs>
        <w:rPr>
          <w:rFonts w:ascii="Arial" w:cs="Arial" w:eastAsia="Arial" w:hAnsi="Arial"/>
          <w:sz w:val="16"/>
          <w:szCs w:val="16"/>
          <w:color w:val="0000FF"/>
        </w:rPr>
      </w:pPr>
      <w:hyperlink r:id="rId70">
        <w:r>
          <w:rPr>
            <w:rFonts w:ascii="Arial" w:cs="Arial" w:eastAsia="Arial" w:hAnsi="Arial"/>
            <w:sz w:val="16"/>
            <w:szCs w:val="16"/>
            <w:u w:val="single" w:color="auto"/>
            <w:color w:val="0000FF"/>
          </w:rPr>
          <w:t>10.27</w:t>
        </w:r>
      </w:hyperlink>
      <w:r>
        <w:rPr>
          <w:rFonts w:ascii="Arial" w:cs="Arial" w:eastAsia="Arial" w:hAnsi="Arial"/>
          <w:sz w:val="16"/>
          <w:szCs w:val="16"/>
          <w:color w:val="0000FF"/>
        </w:rPr>
        <w:tab/>
        <w:t>Amendment No. 4, dated as of April 28, 2020, among the Borrowers, as borrowers; the lenders named therein as lenders; and the Administrative Agent, as administrative agent for the lenders, to the senior Credit Agreement dated as of October 21, 2011, as amended and restated as of February 8, 2013, as further amended and restated as of July 13, 2017, and as further previously amended, is incorporated by reference to our Current Report on Form 8-K filed with the SEC on April 30, 2020</w:t>
      </w:r>
    </w:p>
    <w:p>
      <w:pPr>
        <w:spacing w:after="0" w:line="40" w:lineRule="exact"/>
        <w:rPr>
          <w:sz w:val="20"/>
          <w:szCs w:val="20"/>
          <w:color w:val="auto"/>
        </w:rPr>
      </w:pPr>
    </w:p>
    <w:p>
      <w:pPr>
        <w:ind w:left="900" w:right="20" w:hanging="903"/>
        <w:spacing w:after="0" w:line="251" w:lineRule="auto"/>
        <w:tabs>
          <w:tab w:leader="none" w:pos="880" w:val="left"/>
        </w:tabs>
        <w:rPr>
          <w:rFonts w:ascii="Arial" w:cs="Arial" w:eastAsia="Arial" w:hAnsi="Arial"/>
          <w:sz w:val="16"/>
          <w:szCs w:val="16"/>
          <w:color w:val="0000FF"/>
        </w:rPr>
      </w:pPr>
      <w:hyperlink r:id="rId71">
        <w:r>
          <w:rPr>
            <w:rFonts w:ascii="Arial" w:cs="Arial" w:eastAsia="Arial" w:hAnsi="Arial"/>
            <w:sz w:val="16"/>
            <w:szCs w:val="16"/>
            <w:u w:val="single" w:color="auto"/>
            <w:color w:val="0000FF"/>
          </w:rPr>
          <w:t>10.28</w:t>
        </w:r>
      </w:hyperlink>
      <w:r>
        <w:rPr>
          <w:rFonts w:ascii="Arial" w:cs="Arial" w:eastAsia="Arial" w:hAnsi="Arial"/>
          <w:sz w:val="16"/>
          <w:szCs w:val="16"/>
          <w:color w:val="0000FF"/>
        </w:rPr>
        <w:tab/>
        <w:t>Second Amended and Restated Guaranty dated as of July 13, 2017 between Cimpress' subsidiary guarantors named therein as guarantors (the "Subsidiary Guarantors") and the Administrative Agent, which amends and restates the Amended and Restated Guaranty dated as of February 8, 2013 between the Subsidiary Guarantors and the Administrative Agent, is incorporated by reference to our Current Report on Form 8-K filed with the SEC on July 14, 2017</w:t>
      </w:r>
    </w:p>
    <w:p>
      <w:pPr>
        <w:spacing w:after="0" w:line="40" w:lineRule="exact"/>
        <w:rPr>
          <w:sz w:val="20"/>
          <w:szCs w:val="20"/>
          <w:color w:val="auto"/>
        </w:rPr>
      </w:pPr>
    </w:p>
    <w:p>
      <w:pPr>
        <w:ind w:left="900" w:right="180" w:hanging="903"/>
        <w:spacing w:after="0" w:line="251" w:lineRule="auto"/>
        <w:tabs>
          <w:tab w:leader="none" w:pos="880" w:val="left"/>
        </w:tabs>
        <w:rPr>
          <w:rFonts w:ascii="Arial" w:cs="Arial" w:eastAsia="Arial" w:hAnsi="Arial"/>
          <w:sz w:val="16"/>
          <w:szCs w:val="16"/>
          <w:color w:val="0000FF"/>
        </w:rPr>
      </w:pPr>
      <w:hyperlink r:id="rId72">
        <w:r>
          <w:rPr>
            <w:rFonts w:ascii="Arial" w:cs="Arial" w:eastAsia="Arial" w:hAnsi="Arial"/>
            <w:sz w:val="16"/>
            <w:szCs w:val="16"/>
            <w:u w:val="single" w:color="auto"/>
            <w:color w:val="0000FF"/>
          </w:rPr>
          <w:t>10.29</w:t>
        </w:r>
      </w:hyperlink>
      <w:r>
        <w:rPr>
          <w:rFonts w:ascii="Arial" w:cs="Arial" w:eastAsia="Arial" w:hAnsi="Arial"/>
          <w:sz w:val="16"/>
          <w:szCs w:val="16"/>
          <w:color w:val="0000FF"/>
        </w:rPr>
        <w:tab/>
        <w:t>Borrower Assumption Agreement dated as of December 3, 2019 between Cimpress plc and the Administrative Agent relating to the Credit Agreement as amended and restated as of July 13, 2017 among the Borrowers, as borrowers; the lenders named therein as lenders; and the Administrative Agent as administrative agent for the lenders, is incorporated by reference to our Quarterly Report on Form 10-Q for the fiscal quarter ended December 31, 2019</w:t>
      </w:r>
    </w:p>
    <w:p>
      <w:pPr>
        <w:spacing w:after="0" w:line="40" w:lineRule="exact"/>
        <w:rPr>
          <w:sz w:val="20"/>
          <w:szCs w:val="20"/>
          <w:color w:val="auto"/>
        </w:rPr>
      </w:pPr>
    </w:p>
    <w:p>
      <w:pPr>
        <w:ind w:left="900" w:right="140" w:hanging="903"/>
        <w:spacing w:after="0" w:line="249" w:lineRule="auto"/>
        <w:tabs>
          <w:tab w:leader="none" w:pos="880" w:val="left"/>
        </w:tabs>
        <w:rPr>
          <w:rFonts w:ascii="Arial" w:cs="Arial" w:eastAsia="Arial" w:hAnsi="Arial"/>
          <w:sz w:val="16"/>
          <w:szCs w:val="16"/>
          <w:color w:val="0000FF"/>
        </w:rPr>
      </w:pPr>
      <w:hyperlink r:id="rId73">
        <w:r>
          <w:rPr>
            <w:rFonts w:ascii="Arial" w:cs="Arial" w:eastAsia="Arial" w:hAnsi="Arial"/>
            <w:sz w:val="16"/>
            <w:szCs w:val="16"/>
            <w:u w:val="single" w:color="auto"/>
            <w:color w:val="0000FF"/>
          </w:rPr>
          <w:t>10.30</w:t>
        </w:r>
      </w:hyperlink>
      <w:r>
        <w:rPr>
          <w:rFonts w:ascii="Arial" w:cs="Arial" w:eastAsia="Arial" w:hAnsi="Arial"/>
          <w:sz w:val="16"/>
          <w:szCs w:val="16"/>
          <w:color w:val="0000FF"/>
        </w:rPr>
        <w:tab/>
        <w:t>Amended and Restated Pledge and Security Agreement dated as of July 13, 2017 between Cimpress USA Incorporated, Vistaprint Limited, Cimpress Schweiz GmbH, and Vistaprint B.V., as Borrowers, and Cimpress USA Manufacturing Incorporated, National Pen Co. LLC, National Pen Tennessee LLC, NP Corporate Services LLC, Pixartprinting USA Incorporated, Vistaprint Corporate Solutions Incorporated, and Webs, Inc., as Subsidiary Guarantors, on one hand, and the Administrative Agent, on the other hand, which amends and restates the Pledge and Security Agreement dated as of February 8, 2013, between such Borrowers and Subsidiary Guarantors and the Administrative Agent, is incorporated by reference to our Current Report on Form 8-K filed with the SEC on July 14, 2017</w:t>
      </w:r>
    </w:p>
    <w:p>
      <w:pPr>
        <w:spacing w:after="0" w:line="43" w:lineRule="exact"/>
        <w:rPr>
          <w:sz w:val="20"/>
          <w:szCs w:val="20"/>
          <w:color w:val="auto"/>
        </w:rPr>
      </w:pPr>
    </w:p>
    <w:p>
      <w:pPr>
        <w:ind w:left="900" w:right="380" w:hanging="903"/>
        <w:spacing w:after="0" w:line="260" w:lineRule="auto"/>
        <w:tabs>
          <w:tab w:leader="none" w:pos="880" w:val="left"/>
        </w:tabs>
        <w:rPr>
          <w:rFonts w:ascii="Arial" w:cs="Arial" w:eastAsia="Arial" w:hAnsi="Arial"/>
          <w:sz w:val="16"/>
          <w:szCs w:val="16"/>
          <w:color w:val="0000FF"/>
        </w:rPr>
      </w:pPr>
      <w:hyperlink r:id="rId74">
        <w:r>
          <w:rPr>
            <w:rFonts w:ascii="Arial" w:cs="Arial" w:eastAsia="Arial" w:hAnsi="Arial"/>
            <w:sz w:val="16"/>
            <w:szCs w:val="16"/>
            <w:u w:val="single" w:color="auto"/>
            <w:color w:val="0000FF"/>
          </w:rPr>
          <w:t>10.31</w:t>
        </w:r>
      </w:hyperlink>
      <w:r>
        <w:rPr>
          <w:rFonts w:ascii="Arial" w:cs="Arial" w:eastAsia="Arial" w:hAnsi="Arial"/>
          <w:sz w:val="16"/>
          <w:szCs w:val="16"/>
          <w:color w:val="0000FF"/>
        </w:rPr>
        <w:tab/>
        <w:t>Note and Warrant Purchase Agreement, dated as of April 28, 2020, among Cimpress plc, the guarantors party thereto and AP Print, Ltd. is incorporated by reference to our Current Report on Form 8-K filed with the SEC on April 30, 2020</w:t>
      </w:r>
    </w:p>
    <w:p>
      <w:pPr>
        <w:spacing w:after="0" w:line="33" w:lineRule="exact"/>
        <w:rPr>
          <w:sz w:val="20"/>
          <w:szCs w:val="20"/>
          <w:color w:val="auto"/>
        </w:rPr>
      </w:pPr>
    </w:p>
    <w:p>
      <w:pPr>
        <w:ind w:left="900" w:right="680" w:hanging="903"/>
        <w:spacing w:after="0" w:line="260" w:lineRule="auto"/>
        <w:tabs>
          <w:tab w:leader="none" w:pos="880" w:val="left"/>
        </w:tabs>
        <w:rPr>
          <w:rFonts w:ascii="Arial" w:cs="Arial" w:eastAsia="Arial" w:hAnsi="Arial"/>
          <w:sz w:val="16"/>
          <w:szCs w:val="16"/>
          <w:color w:val="0000FF"/>
        </w:rPr>
      </w:pPr>
      <w:hyperlink r:id="rId75">
        <w:r>
          <w:rPr>
            <w:rFonts w:ascii="Arial" w:cs="Arial" w:eastAsia="Arial" w:hAnsi="Arial"/>
            <w:sz w:val="16"/>
            <w:szCs w:val="16"/>
            <w:u w:val="single" w:color="auto"/>
            <w:color w:val="0000FF"/>
          </w:rPr>
          <w:t>10.32</w:t>
        </w:r>
      </w:hyperlink>
      <w:r>
        <w:rPr>
          <w:rFonts w:ascii="Arial" w:cs="Arial" w:eastAsia="Arial" w:hAnsi="Arial"/>
          <w:sz w:val="16"/>
          <w:szCs w:val="16"/>
          <w:color w:val="0000FF"/>
        </w:rPr>
        <w:tab/>
        <w:t>Pledge and Security Agreement, dated as of May 1, 2020, among the guarantors party thereto and U.S. Bank National Association, as collateral agent, is incorporated by reference to our Current Report on Form 8-K filed with the SEC on May 4,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360" w:top="519" w:right="359" w:bottom="1440" w:gutter="0" w:footer="0" w:header="0"/>
        </w:sectPr>
      </w:pPr>
    </w:p>
    <w:bookmarkStart w:id="119" w:name="page120"/>
    <w:bookmarkEnd w:id="119"/>
    <w:tbl>
      <w:tblPr>
        <w:tblLayout w:type="fixed"/>
        <w:tblInd w:w="40" w:type="dxa"/>
        <w:tblCellMar>
          <w:top w:w="0" w:type="dxa"/>
          <w:left w:w="0" w:type="dxa"/>
          <w:bottom w:w="0" w:type="dxa"/>
          <w:right w:w="0" w:type="dxa"/>
        </w:tblCellMar>
      </w:tblPr>
      <w:tr>
        <w:trPr>
          <w:trHeight w:val="189"/>
        </w:trPr>
        <w:tc>
          <w:tcPr>
            <w:tcW w:w="640" w:type="dxa"/>
            <w:vAlign w:val="bottom"/>
          </w:tcPr>
          <w:p>
            <w:pPr>
              <w:spacing w:after="0"/>
              <w:rPr>
                <w:rFonts w:ascii="Arial" w:cs="Arial" w:eastAsia="Arial" w:hAnsi="Arial"/>
                <w:sz w:val="16"/>
                <w:szCs w:val="16"/>
                <w:u w:val="single" w:color="auto"/>
                <w:color w:val="0000FF"/>
              </w:rPr>
            </w:pPr>
            <w:hyperlink r:id="rId76">
              <w:r>
                <w:rPr>
                  <w:rFonts w:ascii="Arial" w:cs="Arial" w:eastAsia="Arial" w:hAnsi="Arial"/>
                  <w:sz w:val="16"/>
                  <w:szCs w:val="16"/>
                  <w:u w:val="single" w:color="auto"/>
                  <w:color w:val="0000FF"/>
                </w:rPr>
                <w:t>10.33</w:t>
              </w:r>
            </w:hyperlink>
          </w:p>
        </w:tc>
        <w:tc>
          <w:tcPr>
            <w:tcW w:w="10380" w:type="dxa"/>
            <w:vAlign w:val="bottom"/>
          </w:tcPr>
          <w:p>
            <w:pPr>
              <w:ind w:left="260"/>
              <w:spacing w:after="0"/>
              <w:rPr>
                <w:sz w:val="20"/>
                <w:szCs w:val="20"/>
                <w:color w:val="auto"/>
              </w:rPr>
            </w:pPr>
            <w:r>
              <w:rPr>
                <w:rFonts w:ascii="Arial" w:cs="Arial" w:eastAsia="Arial" w:hAnsi="Arial"/>
                <w:sz w:val="16"/>
                <w:szCs w:val="16"/>
                <w:color w:val="auto"/>
              </w:rPr>
              <w:t>Intercreditor Agreement, dated as of May 1, 2020, among JPMorgan Chase Bank, N.A., as first lien collateral agent; U.S. Bank National</w:t>
            </w:r>
          </w:p>
        </w:tc>
      </w:tr>
      <w:tr>
        <w:trPr>
          <w:trHeight w:val="189"/>
        </w:trPr>
        <w:tc>
          <w:tcPr>
            <w:tcW w:w="640" w:type="dxa"/>
            <w:vAlign w:val="bottom"/>
          </w:tcPr>
          <w:p>
            <w:pPr>
              <w:spacing w:after="0"/>
              <w:rPr>
                <w:sz w:val="16"/>
                <w:szCs w:val="16"/>
                <w:color w:val="auto"/>
              </w:rPr>
            </w:pPr>
          </w:p>
        </w:tc>
        <w:tc>
          <w:tcPr>
            <w:tcW w:w="10380" w:type="dxa"/>
            <w:vAlign w:val="bottom"/>
          </w:tcPr>
          <w:p>
            <w:pPr>
              <w:ind w:left="260"/>
              <w:spacing w:after="0"/>
              <w:rPr>
                <w:sz w:val="20"/>
                <w:szCs w:val="20"/>
                <w:color w:val="auto"/>
              </w:rPr>
            </w:pPr>
            <w:r>
              <w:rPr>
                <w:rFonts w:ascii="Arial" w:cs="Arial" w:eastAsia="Arial" w:hAnsi="Arial"/>
                <w:sz w:val="16"/>
                <w:szCs w:val="16"/>
                <w:color w:val="auto"/>
              </w:rPr>
              <w:t>Association, as second lien notes agent; Cimpress plc; and the guarantors party thereto is incorporated by reference to our Current Report on</w:t>
            </w:r>
          </w:p>
        </w:tc>
      </w:tr>
      <w:tr>
        <w:trPr>
          <w:trHeight w:val="195"/>
        </w:trPr>
        <w:tc>
          <w:tcPr>
            <w:tcW w:w="640" w:type="dxa"/>
            <w:vAlign w:val="bottom"/>
          </w:tcPr>
          <w:p>
            <w:pPr>
              <w:spacing w:after="0"/>
              <w:rPr>
                <w:sz w:val="16"/>
                <w:szCs w:val="16"/>
                <w:color w:val="auto"/>
              </w:rPr>
            </w:pPr>
          </w:p>
        </w:tc>
        <w:tc>
          <w:tcPr>
            <w:tcW w:w="10380" w:type="dxa"/>
            <w:vAlign w:val="bottom"/>
          </w:tcPr>
          <w:p>
            <w:pPr>
              <w:ind w:left="260"/>
              <w:spacing w:after="0"/>
              <w:rPr>
                <w:sz w:val="20"/>
                <w:szCs w:val="20"/>
                <w:color w:val="auto"/>
              </w:rPr>
            </w:pPr>
            <w:r>
              <w:rPr>
                <w:rFonts w:ascii="Arial" w:cs="Arial" w:eastAsia="Arial" w:hAnsi="Arial"/>
                <w:sz w:val="16"/>
                <w:szCs w:val="16"/>
                <w:color w:val="auto"/>
              </w:rPr>
              <w:t>Form 8-K filed with the SEC on May 4, 2020</w:t>
            </w:r>
          </w:p>
        </w:tc>
      </w:tr>
      <w:tr>
        <w:trPr>
          <w:trHeight w:val="243"/>
        </w:trPr>
        <w:tc>
          <w:tcPr>
            <w:tcW w:w="640" w:type="dxa"/>
            <w:vAlign w:val="bottom"/>
          </w:tcPr>
          <w:p>
            <w:pPr>
              <w:spacing w:after="0"/>
              <w:rPr>
                <w:rFonts w:ascii="Arial" w:cs="Arial" w:eastAsia="Arial" w:hAnsi="Arial"/>
                <w:sz w:val="16"/>
                <w:szCs w:val="16"/>
                <w:u w:val="single" w:color="auto"/>
                <w:color w:val="0000FF"/>
              </w:rPr>
            </w:pPr>
            <w:hyperlink w:anchor="page132">
              <w:r>
                <w:rPr>
                  <w:rFonts w:ascii="Arial" w:cs="Arial" w:eastAsia="Arial" w:hAnsi="Arial"/>
                  <w:sz w:val="16"/>
                  <w:szCs w:val="16"/>
                  <w:u w:val="single" w:color="auto"/>
                  <w:color w:val="0000FF"/>
                </w:rPr>
                <w:t>21.1</w:t>
              </w:r>
            </w:hyperlink>
          </w:p>
        </w:tc>
        <w:tc>
          <w:tcPr>
            <w:tcW w:w="10380" w:type="dxa"/>
            <w:vAlign w:val="bottom"/>
          </w:tcPr>
          <w:p>
            <w:pPr>
              <w:ind w:left="260"/>
              <w:spacing w:after="0"/>
              <w:rPr>
                <w:sz w:val="20"/>
                <w:szCs w:val="20"/>
                <w:color w:val="auto"/>
              </w:rPr>
            </w:pPr>
            <w:r>
              <w:rPr>
                <w:rFonts w:ascii="Arial" w:cs="Arial" w:eastAsia="Arial" w:hAnsi="Arial"/>
                <w:sz w:val="16"/>
                <w:szCs w:val="16"/>
                <w:color w:val="auto"/>
              </w:rPr>
              <w:t>Subsidiaries of Cimpress plc</w:t>
            </w:r>
          </w:p>
        </w:tc>
      </w:tr>
      <w:tr>
        <w:trPr>
          <w:trHeight w:val="270"/>
        </w:trPr>
        <w:tc>
          <w:tcPr>
            <w:tcW w:w="640" w:type="dxa"/>
            <w:vAlign w:val="bottom"/>
          </w:tcPr>
          <w:p>
            <w:pPr>
              <w:spacing w:after="0"/>
              <w:rPr>
                <w:rFonts w:ascii="Arial" w:cs="Arial" w:eastAsia="Arial" w:hAnsi="Arial"/>
                <w:sz w:val="16"/>
                <w:szCs w:val="16"/>
                <w:u w:val="single" w:color="auto"/>
                <w:color w:val="0000FF"/>
              </w:rPr>
            </w:pPr>
            <w:hyperlink w:anchor="page135">
              <w:r>
                <w:rPr>
                  <w:rFonts w:ascii="Arial" w:cs="Arial" w:eastAsia="Arial" w:hAnsi="Arial"/>
                  <w:sz w:val="16"/>
                  <w:szCs w:val="16"/>
                  <w:u w:val="single" w:color="auto"/>
                  <w:color w:val="0000FF"/>
                </w:rPr>
                <w:t>23.1</w:t>
              </w:r>
            </w:hyperlink>
          </w:p>
        </w:tc>
        <w:tc>
          <w:tcPr>
            <w:tcW w:w="10380" w:type="dxa"/>
            <w:vAlign w:val="bottom"/>
          </w:tcPr>
          <w:p>
            <w:pPr>
              <w:ind w:left="260"/>
              <w:spacing w:after="0"/>
              <w:rPr>
                <w:sz w:val="20"/>
                <w:szCs w:val="20"/>
                <w:color w:val="auto"/>
              </w:rPr>
            </w:pPr>
            <w:r>
              <w:rPr>
                <w:rFonts w:ascii="Arial" w:cs="Arial" w:eastAsia="Arial" w:hAnsi="Arial"/>
                <w:sz w:val="16"/>
                <w:szCs w:val="16"/>
                <w:color w:val="auto"/>
              </w:rPr>
              <w:t>Consent of PricewaterhouseCoopers LLP, Independent Registered Public Accounting Firm</w:t>
            </w:r>
          </w:p>
        </w:tc>
      </w:tr>
      <w:tr>
        <w:trPr>
          <w:trHeight w:val="270"/>
        </w:trPr>
        <w:tc>
          <w:tcPr>
            <w:tcW w:w="640" w:type="dxa"/>
            <w:vAlign w:val="bottom"/>
          </w:tcPr>
          <w:p>
            <w:pPr>
              <w:spacing w:after="0"/>
              <w:rPr>
                <w:rFonts w:ascii="Arial" w:cs="Arial" w:eastAsia="Arial" w:hAnsi="Arial"/>
                <w:sz w:val="16"/>
                <w:szCs w:val="16"/>
                <w:u w:val="single" w:color="auto"/>
                <w:color w:val="0000FF"/>
              </w:rPr>
            </w:pPr>
            <w:hyperlink w:anchor="page136">
              <w:r>
                <w:rPr>
                  <w:rFonts w:ascii="Arial" w:cs="Arial" w:eastAsia="Arial" w:hAnsi="Arial"/>
                  <w:sz w:val="16"/>
                  <w:szCs w:val="16"/>
                  <w:u w:val="single" w:color="auto"/>
                  <w:color w:val="0000FF"/>
                </w:rPr>
                <w:t>31.1</w:t>
              </w:r>
            </w:hyperlink>
          </w:p>
        </w:tc>
        <w:tc>
          <w:tcPr>
            <w:tcW w:w="10380" w:type="dxa"/>
            <w:vAlign w:val="bottom"/>
          </w:tcPr>
          <w:p>
            <w:pPr>
              <w:ind w:left="26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r>
      <w:tr>
        <w:trPr>
          <w:trHeight w:val="270"/>
        </w:trPr>
        <w:tc>
          <w:tcPr>
            <w:tcW w:w="640" w:type="dxa"/>
            <w:vAlign w:val="bottom"/>
          </w:tcPr>
          <w:p>
            <w:pPr>
              <w:spacing w:after="0"/>
              <w:rPr>
                <w:rFonts w:ascii="Arial" w:cs="Arial" w:eastAsia="Arial" w:hAnsi="Arial"/>
                <w:sz w:val="16"/>
                <w:szCs w:val="16"/>
                <w:u w:val="single" w:color="auto"/>
                <w:color w:val="0000FF"/>
              </w:rPr>
            </w:pPr>
            <w:hyperlink w:anchor="page137">
              <w:r>
                <w:rPr>
                  <w:rFonts w:ascii="Arial" w:cs="Arial" w:eastAsia="Arial" w:hAnsi="Arial"/>
                  <w:sz w:val="16"/>
                  <w:szCs w:val="16"/>
                  <w:u w:val="single" w:color="auto"/>
                  <w:color w:val="0000FF"/>
                </w:rPr>
                <w:t>31.2</w:t>
              </w:r>
            </w:hyperlink>
          </w:p>
        </w:tc>
        <w:tc>
          <w:tcPr>
            <w:tcW w:w="10380" w:type="dxa"/>
            <w:vAlign w:val="bottom"/>
          </w:tcPr>
          <w:p>
            <w:pPr>
              <w:ind w:left="26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r>
      <w:tr>
        <w:trPr>
          <w:trHeight w:val="264"/>
        </w:trPr>
        <w:tc>
          <w:tcPr>
            <w:tcW w:w="640" w:type="dxa"/>
            <w:vAlign w:val="bottom"/>
          </w:tcPr>
          <w:p>
            <w:pPr>
              <w:spacing w:after="0"/>
              <w:rPr>
                <w:rFonts w:ascii="Arial" w:cs="Arial" w:eastAsia="Arial" w:hAnsi="Arial"/>
                <w:sz w:val="16"/>
                <w:szCs w:val="16"/>
                <w:u w:val="single" w:color="auto"/>
                <w:color w:val="0000FF"/>
              </w:rPr>
            </w:pPr>
            <w:hyperlink w:anchor="page138">
              <w:r>
                <w:rPr>
                  <w:rFonts w:ascii="Arial" w:cs="Arial" w:eastAsia="Arial" w:hAnsi="Arial"/>
                  <w:sz w:val="16"/>
                  <w:szCs w:val="16"/>
                  <w:u w:val="single" w:color="auto"/>
                  <w:color w:val="0000FF"/>
                </w:rPr>
                <w:t>32.1</w:t>
              </w:r>
            </w:hyperlink>
          </w:p>
        </w:tc>
        <w:tc>
          <w:tcPr>
            <w:tcW w:w="10380" w:type="dxa"/>
            <w:vAlign w:val="bottom"/>
          </w:tcPr>
          <w:p>
            <w:pPr>
              <w:ind w:left="26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by Chief Executive</w:t>
            </w:r>
          </w:p>
        </w:tc>
      </w:tr>
      <w:tr>
        <w:trPr>
          <w:trHeight w:val="195"/>
        </w:trPr>
        <w:tc>
          <w:tcPr>
            <w:tcW w:w="640" w:type="dxa"/>
            <w:vAlign w:val="bottom"/>
          </w:tcPr>
          <w:p>
            <w:pPr>
              <w:spacing w:after="0"/>
              <w:rPr>
                <w:sz w:val="16"/>
                <w:szCs w:val="16"/>
                <w:color w:val="auto"/>
              </w:rPr>
            </w:pPr>
          </w:p>
        </w:tc>
        <w:tc>
          <w:tcPr>
            <w:tcW w:w="10380" w:type="dxa"/>
            <w:vAlign w:val="bottom"/>
          </w:tcPr>
          <w:p>
            <w:pPr>
              <w:ind w:left="260"/>
              <w:spacing w:after="0"/>
              <w:rPr>
                <w:sz w:val="20"/>
                <w:szCs w:val="20"/>
                <w:color w:val="auto"/>
              </w:rPr>
            </w:pPr>
            <w:r>
              <w:rPr>
                <w:rFonts w:ascii="Arial" w:cs="Arial" w:eastAsia="Arial" w:hAnsi="Arial"/>
                <w:sz w:val="16"/>
                <w:szCs w:val="16"/>
                <w:color w:val="auto"/>
              </w:rPr>
              <w:t>Officer and Chief Financial Officer</w:t>
            </w:r>
          </w:p>
        </w:tc>
      </w:tr>
    </w:tbl>
    <w:p>
      <w:pPr>
        <w:spacing w:after="0" w:line="48" w:lineRule="exact"/>
        <w:rPr>
          <w:sz w:val="20"/>
          <w:szCs w:val="20"/>
          <w:color w:val="auto"/>
        </w:rPr>
      </w:pPr>
    </w:p>
    <w:p>
      <w:pPr>
        <w:ind w:left="940" w:right="460" w:hanging="905"/>
        <w:spacing w:after="0" w:line="253" w:lineRule="auto"/>
        <w:tabs>
          <w:tab w:leader="none" w:pos="9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following materials from this Annual Report on Form 10-K, formatted in Inline Extensible Business Reporting Language (iXBRL): (i) Consolidated Balance Sheets, (ii) Consolidated Statements of Operations, (iii) Statements of Shareholder's Equity, (iv) Consolidated Statements of Cash Flows and (v) Notes to Condensed Consolidated Financial Statements.</w:t>
      </w:r>
    </w:p>
    <w:p>
      <w:pPr>
        <w:spacing w:after="0" w:line="39" w:lineRule="exact"/>
        <w:rPr>
          <w:sz w:val="20"/>
          <w:szCs w:val="20"/>
          <w:color w:val="auto"/>
        </w:rPr>
      </w:pPr>
    </w:p>
    <w:p>
      <w:pPr>
        <w:ind w:left="940" w:hanging="905"/>
        <w:spacing w:after="0"/>
        <w:tabs>
          <w:tab w:leader="none" w:pos="9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Cover Page Interactive Data File (formatted as iXBRL and contained in Exhibit 101)</w:t>
      </w:r>
    </w:p>
    <w:p>
      <w:pPr>
        <w:spacing w:after="0" w:line="6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__________________</w:t>
      </w:r>
    </w:p>
    <w:p>
      <w:pPr>
        <w:spacing w:after="0" w:line="210"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45" w:lineRule="exact"/>
        <w:rPr>
          <w:rFonts w:ascii="Arial" w:cs="Arial" w:eastAsia="Arial" w:hAnsi="Arial"/>
          <w:sz w:val="16"/>
          <w:szCs w:val="16"/>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98" w:lineRule="exact"/>
        <w:rPr>
          <w:sz w:val="20"/>
          <w:szCs w:val="20"/>
          <w:color w:val="auto"/>
        </w:rPr>
      </w:pPr>
    </w:p>
    <w:p>
      <w:pPr>
        <w:ind w:right="600" w:firstLine="648"/>
        <w:spacing w:after="0" w:line="26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accompanying consolidated financial statements or notes thereto.</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519" w:right="5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right="240" w:firstLine="661"/>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August 11, 2020</w:t>
      </w:r>
      <w:r>
        <w:rPr>
          <w:sz w:val="20"/>
          <w:szCs w:val="20"/>
          <w:color w:val="auto"/>
        </w:rPr>
        <w:tab/>
      </w:r>
      <w:r>
        <w:rPr>
          <w:rFonts w:ascii="Arial" w:cs="Arial" w:eastAsia="Arial" w:hAnsi="Arial"/>
          <w:sz w:val="17"/>
          <w:szCs w:val="17"/>
          <w:color w:val="auto"/>
        </w:rPr>
        <w:t>Cimpress plc</w:t>
      </w:r>
    </w:p>
    <w:p>
      <w:pPr>
        <w:spacing w:after="0" w:line="200" w:lineRule="exact"/>
        <w:rPr>
          <w:sz w:val="20"/>
          <w:szCs w:val="20"/>
          <w:color w:val="auto"/>
        </w:rPr>
      </w:pPr>
    </w:p>
    <w:p>
      <w:pPr>
        <w:spacing w:after="0" w:line="201" w:lineRule="exact"/>
        <w:rPr>
          <w:sz w:val="20"/>
          <w:szCs w:val="20"/>
          <w:color w:val="auto"/>
        </w:rPr>
      </w:pPr>
    </w:p>
    <w:p>
      <w:pPr>
        <w:ind w:left="566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Robert S. Keane</w:t>
      </w:r>
    </w:p>
    <w:p>
      <w:pPr>
        <w:spacing w:after="0" w:line="109"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Founder and Chief Executive Officer</w:t>
      </w:r>
    </w:p>
    <w:p>
      <w:pPr>
        <w:spacing w:after="0" w:line="25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r>
      <w:tr>
        <w:trPr>
          <w:trHeight w:val="250"/>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Robert S. Keane</w:t>
            </w:r>
          </w:p>
        </w:tc>
        <w:tc>
          <w:tcPr>
            <w:tcW w:w="120" w:type="dxa"/>
            <w:vAlign w:val="bottom"/>
          </w:tcPr>
          <w:p>
            <w:pPr>
              <w:spacing w:after="0"/>
              <w:rPr>
                <w:sz w:val="21"/>
                <w:szCs w:val="21"/>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Founder &amp; Chief Executive Officer</w:t>
            </w:r>
          </w:p>
        </w:tc>
        <w:tc>
          <w:tcPr>
            <w:tcW w:w="2240" w:type="dxa"/>
            <w:vAlign w:val="bottom"/>
          </w:tcPr>
          <w:p>
            <w:pPr>
              <w:jc w:val="center"/>
              <w:spacing w:after="0"/>
              <w:rPr>
                <w:sz w:val="20"/>
                <w:szCs w:val="20"/>
                <w:color w:val="auto"/>
              </w:rPr>
            </w:pPr>
            <w:r>
              <w:rPr>
                <w:rFonts w:ascii="Arial" w:cs="Arial" w:eastAsia="Arial" w:hAnsi="Arial"/>
                <w:sz w:val="18"/>
                <w:szCs w:val="18"/>
                <w:color w:val="auto"/>
              </w:rPr>
              <w:t>August 11, 2020</w:t>
            </w:r>
          </w:p>
        </w:tc>
      </w:tr>
      <w:tr>
        <w:trPr>
          <w:trHeight w:val="243"/>
        </w:trPr>
        <w:tc>
          <w:tcPr>
            <w:tcW w:w="4280" w:type="dxa"/>
            <w:vAlign w:val="bottom"/>
          </w:tcPr>
          <w:p>
            <w:pPr>
              <w:jc w:val="center"/>
              <w:spacing w:after="0"/>
              <w:rPr>
                <w:sz w:val="20"/>
                <w:szCs w:val="20"/>
                <w:color w:val="auto"/>
              </w:rPr>
            </w:pPr>
            <w:r>
              <w:rPr>
                <w:rFonts w:ascii="Arial" w:cs="Arial" w:eastAsia="Arial" w:hAnsi="Arial"/>
                <w:sz w:val="18"/>
                <w:szCs w:val="18"/>
                <w:color w:val="auto"/>
              </w:rPr>
              <w:t>Robert S. Keane</w:t>
            </w:r>
          </w:p>
        </w:tc>
        <w:tc>
          <w:tcPr>
            <w:tcW w:w="120" w:type="dxa"/>
            <w:vAlign w:val="bottom"/>
          </w:tcPr>
          <w:p>
            <w:pPr>
              <w:spacing w:after="0"/>
              <w:rPr>
                <w:sz w:val="21"/>
                <w:szCs w:val="21"/>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(Principal executive officer)</w:t>
            </w:r>
          </w:p>
        </w:tc>
        <w:tc>
          <w:tcPr>
            <w:tcW w:w="2240" w:type="dxa"/>
            <w:vAlign w:val="bottom"/>
          </w:tcPr>
          <w:p>
            <w:pPr>
              <w:spacing w:after="0"/>
              <w:rPr>
                <w:sz w:val="21"/>
                <w:szCs w:val="21"/>
                <w:color w:val="auto"/>
              </w:rPr>
            </w:pPr>
          </w:p>
        </w:tc>
      </w:tr>
      <w:tr>
        <w:trPr>
          <w:trHeight w:val="27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Sean E. Quinn</w:t>
            </w:r>
          </w:p>
        </w:tc>
        <w:tc>
          <w:tcPr>
            <w:tcW w:w="120" w:type="dxa"/>
            <w:vAlign w:val="bottom"/>
          </w:tcPr>
          <w:p>
            <w:pPr>
              <w:spacing w:after="0"/>
              <w:rPr>
                <w:sz w:val="24"/>
                <w:szCs w:val="24"/>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rPr>
              <w:t>August 11, 2020</w:t>
            </w:r>
          </w:p>
        </w:tc>
      </w:tr>
      <w:tr>
        <w:trPr>
          <w:trHeight w:val="243"/>
        </w:trPr>
        <w:tc>
          <w:tcPr>
            <w:tcW w:w="4280" w:type="dxa"/>
            <w:vAlign w:val="bottom"/>
          </w:tcPr>
          <w:p>
            <w:pPr>
              <w:jc w:val="center"/>
              <w:spacing w:after="0"/>
              <w:rPr>
                <w:sz w:val="20"/>
                <w:szCs w:val="20"/>
                <w:color w:val="auto"/>
              </w:rPr>
            </w:pPr>
            <w:r>
              <w:rPr>
                <w:rFonts w:ascii="Arial" w:cs="Arial" w:eastAsia="Arial" w:hAnsi="Arial"/>
                <w:sz w:val="18"/>
                <w:szCs w:val="18"/>
                <w:color w:val="auto"/>
              </w:rPr>
              <w:t>Sean E. Quinn</w:t>
            </w:r>
          </w:p>
        </w:tc>
        <w:tc>
          <w:tcPr>
            <w:tcW w:w="120" w:type="dxa"/>
            <w:vAlign w:val="bottom"/>
          </w:tcPr>
          <w:p>
            <w:pPr>
              <w:spacing w:after="0"/>
              <w:rPr>
                <w:sz w:val="21"/>
                <w:szCs w:val="21"/>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21"/>
                <w:szCs w:val="21"/>
                <w:color w:val="auto"/>
              </w:rPr>
            </w:pPr>
          </w:p>
        </w:tc>
      </w:tr>
      <w:tr>
        <w:trPr>
          <w:trHeight w:val="27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Sophie A. Gasperment</w:t>
            </w:r>
          </w:p>
        </w:tc>
        <w:tc>
          <w:tcPr>
            <w:tcW w:w="120" w:type="dxa"/>
            <w:vAlign w:val="bottom"/>
          </w:tcPr>
          <w:p>
            <w:pPr>
              <w:spacing w:after="0"/>
              <w:rPr>
                <w:sz w:val="24"/>
                <w:szCs w:val="24"/>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rPr>
              <w:t>August 11, 2020</w:t>
            </w:r>
          </w:p>
        </w:tc>
      </w:tr>
      <w:tr>
        <w:trPr>
          <w:trHeight w:val="243"/>
        </w:trPr>
        <w:tc>
          <w:tcPr>
            <w:tcW w:w="4280" w:type="dxa"/>
            <w:vAlign w:val="bottom"/>
          </w:tcPr>
          <w:p>
            <w:pPr>
              <w:jc w:val="center"/>
              <w:spacing w:after="0"/>
              <w:rPr>
                <w:sz w:val="20"/>
                <w:szCs w:val="20"/>
                <w:color w:val="auto"/>
              </w:rPr>
            </w:pPr>
            <w:r>
              <w:rPr>
                <w:rFonts w:ascii="Arial" w:cs="Arial" w:eastAsia="Arial" w:hAnsi="Arial"/>
                <w:sz w:val="18"/>
                <w:szCs w:val="18"/>
                <w:color w:val="auto"/>
                <w:w w:val="99"/>
              </w:rPr>
              <w:t>Sophie A. Gasperment</w:t>
            </w:r>
          </w:p>
        </w:tc>
        <w:tc>
          <w:tcPr>
            <w:tcW w:w="1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7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John J. Gavin Jr.</w:t>
            </w:r>
          </w:p>
        </w:tc>
        <w:tc>
          <w:tcPr>
            <w:tcW w:w="120" w:type="dxa"/>
            <w:vAlign w:val="bottom"/>
          </w:tcPr>
          <w:p>
            <w:pPr>
              <w:spacing w:after="0"/>
              <w:rPr>
                <w:sz w:val="24"/>
                <w:szCs w:val="24"/>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rPr>
              <w:t>August 11, 2020</w:t>
            </w:r>
          </w:p>
        </w:tc>
      </w:tr>
      <w:tr>
        <w:trPr>
          <w:trHeight w:val="243"/>
        </w:trPr>
        <w:tc>
          <w:tcPr>
            <w:tcW w:w="4280" w:type="dxa"/>
            <w:vAlign w:val="bottom"/>
          </w:tcPr>
          <w:p>
            <w:pPr>
              <w:jc w:val="center"/>
              <w:spacing w:after="0"/>
              <w:rPr>
                <w:sz w:val="20"/>
                <w:szCs w:val="20"/>
                <w:color w:val="auto"/>
              </w:rPr>
            </w:pPr>
            <w:r>
              <w:rPr>
                <w:rFonts w:ascii="Arial" w:cs="Arial" w:eastAsia="Arial" w:hAnsi="Arial"/>
                <w:sz w:val="18"/>
                <w:szCs w:val="18"/>
                <w:color w:val="auto"/>
                <w:w w:val="99"/>
              </w:rPr>
              <w:t>John J. Gavin Jr.</w:t>
            </w:r>
          </w:p>
        </w:tc>
        <w:tc>
          <w:tcPr>
            <w:tcW w:w="1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7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Zachary S. Sternberg</w:t>
            </w:r>
          </w:p>
        </w:tc>
        <w:tc>
          <w:tcPr>
            <w:tcW w:w="120" w:type="dxa"/>
            <w:vAlign w:val="bottom"/>
          </w:tcPr>
          <w:p>
            <w:pPr>
              <w:spacing w:after="0"/>
              <w:rPr>
                <w:sz w:val="24"/>
                <w:szCs w:val="24"/>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rPr>
              <w:t>August 11, 2020</w:t>
            </w:r>
          </w:p>
        </w:tc>
      </w:tr>
      <w:tr>
        <w:trPr>
          <w:trHeight w:val="243"/>
        </w:trPr>
        <w:tc>
          <w:tcPr>
            <w:tcW w:w="4280" w:type="dxa"/>
            <w:vAlign w:val="bottom"/>
          </w:tcPr>
          <w:p>
            <w:pPr>
              <w:jc w:val="center"/>
              <w:spacing w:after="0"/>
              <w:rPr>
                <w:sz w:val="20"/>
                <w:szCs w:val="20"/>
                <w:color w:val="auto"/>
              </w:rPr>
            </w:pPr>
            <w:r>
              <w:rPr>
                <w:rFonts w:ascii="Arial" w:cs="Arial" w:eastAsia="Arial" w:hAnsi="Arial"/>
                <w:sz w:val="18"/>
                <w:szCs w:val="18"/>
                <w:color w:val="auto"/>
                <w:w w:val="99"/>
              </w:rPr>
              <w:t>Zachary S. Sternberg</w:t>
            </w:r>
          </w:p>
        </w:tc>
        <w:tc>
          <w:tcPr>
            <w:tcW w:w="1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7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Vassalluzzo</w:t>
            </w:r>
          </w:p>
        </w:tc>
        <w:tc>
          <w:tcPr>
            <w:tcW w:w="120" w:type="dxa"/>
            <w:vAlign w:val="bottom"/>
          </w:tcPr>
          <w:p>
            <w:pPr>
              <w:spacing w:after="0"/>
              <w:rPr>
                <w:sz w:val="24"/>
                <w:szCs w:val="24"/>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rPr>
              <w:t>August 11, 2020</w:t>
            </w:r>
          </w:p>
        </w:tc>
      </w:tr>
      <w:tr>
        <w:trPr>
          <w:trHeight w:val="243"/>
        </w:trPr>
        <w:tc>
          <w:tcPr>
            <w:tcW w:w="4280" w:type="dxa"/>
            <w:vAlign w:val="bottom"/>
          </w:tcPr>
          <w:p>
            <w:pPr>
              <w:jc w:val="center"/>
              <w:spacing w:after="0"/>
              <w:rPr>
                <w:sz w:val="20"/>
                <w:szCs w:val="20"/>
                <w:color w:val="auto"/>
              </w:rPr>
            </w:pPr>
            <w:r>
              <w:rPr>
                <w:rFonts w:ascii="Arial" w:cs="Arial" w:eastAsia="Arial" w:hAnsi="Arial"/>
                <w:sz w:val="18"/>
                <w:szCs w:val="18"/>
                <w:color w:val="auto"/>
                <w:w w:val="99"/>
              </w:rPr>
              <w:t>Scott Vassalluzzo</w:t>
            </w:r>
          </w:p>
        </w:tc>
        <w:tc>
          <w:tcPr>
            <w:tcW w:w="1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878"/>
        </w:trPr>
        <w:tc>
          <w:tcPr>
            <w:tcW w:w="4280" w:type="dxa"/>
            <w:vAlign w:val="bottom"/>
          </w:tcPr>
          <w:p>
            <w:pPr>
              <w:spacing w:after="0"/>
              <w:rPr>
                <w:sz w:val="24"/>
                <w:szCs w:val="24"/>
                <w:color w:val="auto"/>
              </w:rPr>
            </w:pPr>
          </w:p>
        </w:tc>
        <w:tc>
          <w:tcPr>
            <w:tcW w:w="4620" w:type="dxa"/>
            <w:vAlign w:val="bottom"/>
            <w:gridSpan w:val="2"/>
          </w:tcPr>
          <w:p>
            <w:pPr>
              <w:jc w:val="right"/>
              <w:ind w:right="30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8"/>
          <w:szCs w:val="18"/>
          <w:b w:val="1"/>
          <w:bCs w:val="1"/>
          <w:color w:val="auto"/>
        </w:rPr>
        <w:t>DESCRIPTION OF REGISTERED SECURITIES OF CIMPRESS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capital structure</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Cimpress plc has an authorized share capital of €2,025,000 comprising 100,000,000 ordinary shares of €0.01 each, 100,000,000 preferred shares of €0.01 each, and 25,000 deferred ordinary shares of €1.00 each.</w:t>
      </w:r>
    </w:p>
    <w:p>
      <w:pPr>
        <w:spacing w:after="0" w:line="19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authorized share capital includes 25,000 deferred ordinary shares of €1.00 each in order to satisfy minimum statutory capital requirements for all Irish public limited companies. The holders of the deferred ordinary shares are not entitled to receive any dividend or distribution, to attend, speak or vote at any general meeting, and have no effective rights to participate in the assets of Cimpress plc.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Cimpress plc has registered its ordinary shares pursuant to Section 12(b) of the Securities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4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Each of our ordinary shares is entitled to one vote. Under our Constitution, holders of at least a simple majority of the shares issued and entitled to vote at a general meeting of shareholders constitute a quorum.</w:t>
      </w:r>
    </w:p>
    <w:p>
      <w:pPr>
        <w:spacing w:after="0" w:line="198"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Under the Irish Companies Act and our Constitution, certain matters require “ordinary resolutions,” which must be approved by at least a majority of the votes cast by shareholders at a general meeting, and certain other matters require “special resolutions,” which require the affirmative vote of at least 75% of the votes cast by shareholders at a general meeting.</w:t>
      </w:r>
    </w:p>
    <w:p>
      <w:pPr>
        <w:spacing w:after="0" w:line="20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 ordinary resolution is needed (among other matters) to: remove a director; provide, vary or renew the directors’ authority to allot shares and to appoint directors (where appointment is by shareholders).</w:t>
      </w:r>
    </w:p>
    <w:p>
      <w:pPr>
        <w:spacing w:after="0" w:line="19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 special resolution is needed (among other matters) to: alter a company’s constitution, exclude statutory preemptive rights on allotment of securities for cash (up to five years); reduce a company’s share capital; re-register a public company as a private company (or vice versa); and approve a scheme of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24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we have opted to disapply these preemption rights in our Constitution in respect of ordinary shares with an aggregate par value amount up to the maximum of our authorized but unissued share capital. This disapplication expires in November 2024.</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Irish law requires this disapplication to be renewed at least every five years by 75% of the votes cast at a general meeting of shareholders. If the disapplication is not renewed,our ordinary shares issued for cash must be offered to our existing shareholders on a pro rata basis to their existing shareholdings before our ordinary shares may be issued to any new shareholders.</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stock option or similar equity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Rotating terms of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Board of Directors serve for rotating terms of up to three years.</w:t>
      </w:r>
    </w:p>
    <w:p>
      <w:pPr>
        <w:sectPr>
          <w:pgSz w:w="11900" w:h="16838" w:orient="portrait"/>
          <w:cols w:equalWidth="0" w:num="1">
            <w:col w:w="11180"/>
          </w:cols>
          <w:pgMar w:left="320" w:top="549" w:right="39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20"/>
          <w:szCs w:val="20"/>
          <w:color w:val="auto"/>
        </w:rPr>
        <w:t>[Form of]</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2011 Equity Incentive Plan</w:t>
      </w:r>
    </w:p>
    <w:p>
      <w:pPr>
        <w:jc w:val="center"/>
        <w:ind w:right="-59"/>
        <w:spacing w:after="0"/>
        <w:rPr>
          <w:sz w:val="20"/>
          <w:szCs w:val="20"/>
          <w:color w:val="auto"/>
        </w:rPr>
      </w:pPr>
      <w:r>
        <w:rPr>
          <w:rFonts w:ascii="Arial" w:cs="Arial" w:eastAsia="Arial" w:hAnsi="Arial"/>
          <w:sz w:val="20"/>
          <w:szCs w:val="20"/>
          <w:u w:val="single" w:color="auto"/>
          <w:color w:val="auto"/>
        </w:rPr>
        <w:t>Restricted Share Unit Agreement</w:t>
      </w:r>
    </w:p>
    <w:p>
      <w:pPr>
        <w:spacing w:after="0" w:line="207" w:lineRule="exact"/>
        <w:rPr>
          <w:sz w:val="20"/>
          <w:szCs w:val="20"/>
          <w:color w:val="auto"/>
        </w:rPr>
      </w:pPr>
    </w:p>
    <w:p>
      <w:pPr>
        <w:ind w:right="40" w:firstLine="8"/>
        <w:spacing w:after="0" w:line="248" w:lineRule="auto"/>
        <w:tabs>
          <w:tab w:leader="none" w:pos="34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xml:space="preserve">. This Agreement evidences the grant by Cimpress plc, an Irish public limited company (the “Company”), on </w:t>
      </w:r>
      <w:r>
        <w:rPr>
          <w:rFonts w:ascii="Arial" w:cs="Arial" w:eastAsia="Arial" w:hAnsi="Arial"/>
          <w:sz w:val="20"/>
          <w:szCs w:val="20"/>
          <w:b w:val="1"/>
          <w:bCs w:val="1"/>
          <w:color w:val="auto"/>
        </w:rPr>
        <w:t>[date]</w:t>
      </w:r>
      <w:r>
        <w:rPr>
          <w:rFonts w:ascii="Arial" w:cs="Arial" w:eastAsia="Arial" w:hAnsi="Arial"/>
          <w:sz w:val="20"/>
          <w:szCs w:val="20"/>
          <w:color w:val="auto"/>
        </w:rPr>
        <w:t xml:space="preserve"> to </w:t>
      </w:r>
      <w:r>
        <w:rPr>
          <w:rFonts w:ascii="Arial" w:cs="Arial" w:eastAsia="Arial" w:hAnsi="Arial"/>
          <w:sz w:val="20"/>
          <w:szCs w:val="20"/>
          <w:b w:val="1"/>
          <w:bCs w:val="1"/>
          <w:color w:val="auto"/>
        </w:rPr>
        <w:t xml:space="preserve">[name] </w:t>
      </w:r>
      <w:r>
        <w:rPr>
          <w:rFonts w:ascii="Arial" w:cs="Arial" w:eastAsia="Arial" w:hAnsi="Arial"/>
          <w:sz w:val="20"/>
          <w:szCs w:val="20"/>
          <w:color w:val="auto"/>
        </w:rPr>
        <w:t>(the “Participant”) of</w:t>
      </w:r>
      <w:r>
        <w:rPr>
          <w:rFonts w:ascii="Arial" w:cs="Arial" w:eastAsia="Arial" w:hAnsi="Arial"/>
          <w:sz w:val="20"/>
          <w:szCs w:val="20"/>
          <w:b w:val="1"/>
          <w:bCs w:val="1"/>
          <w:color w:val="auto"/>
        </w:rPr>
        <w:t xml:space="preserve"> [number] </w:t>
      </w:r>
      <w:r>
        <w:rPr>
          <w:rFonts w:ascii="Arial" w:cs="Arial" w:eastAsia="Arial" w:hAnsi="Arial"/>
          <w:sz w:val="20"/>
          <w:szCs w:val="20"/>
          <w:color w:val="auto"/>
        </w:rPr>
        <w:t>restricted share units (the “Units”) with respect to a total of</w:t>
      </w:r>
      <w:r>
        <w:rPr>
          <w:rFonts w:ascii="Arial" w:cs="Arial" w:eastAsia="Arial" w:hAnsi="Arial"/>
          <w:sz w:val="20"/>
          <w:szCs w:val="20"/>
          <w:b w:val="1"/>
          <w:bCs w:val="1"/>
          <w:color w:val="auto"/>
        </w:rPr>
        <w:t xml:space="preserve"> [number] </w:t>
      </w:r>
      <w:r>
        <w:rPr>
          <w:rFonts w:ascii="Arial" w:cs="Arial" w:eastAsia="Arial" w:hAnsi="Arial"/>
          <w:sz w:val="20"/>
          <w:szCs w:val="20"/>
          <w:color w:val="auto"/>
        </w:rPr>
        <w:t>ordinary shares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€0.01 nominal value per share (the “Shares”), on the terms of this Agreement and the Company’s 2011 Equity Incentive Plan (the “Plan”).</w:t>
      </w:r>
    </w:p>
    <w:p>
      <w:pPr>
        <w:spacing w:after="0" w:line="203"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Except as otherwise indicated by the context, the term “Participant,” as used in this award, is deemed to include any person who acquires rights under this award validly under its terms.</w:t>
      </w:r>
    </w:p>
    <w:p>
      <w:pPr>
        <w:spacing w:after="0" w:line="190" w:lineRule="exact"/>
        <w:rPr>
          <w:sz w:val="20"/>
          <w:szCs w:val="20"/>
          <w:color w:val="auto"/>
        </w:rPr>
      </w:pPr>
    </w:p>
    <w:p>
      <w:pPr>
        <w:ind w:left="360" w:hanging="352"/>
        <w:spacing w:after="0"/>
        <w:tabs>
          <w:tab w:leader="none" w:pos="36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80" w:firstLine="656"/>
        <w:spacing w:after="0" w:line="260" w:lineRule="auto"/>
        <w:tabs>
          <w:tab w:leader="none" w:pos="1065" w:val="left"/>
        </w:tabs>
        <w:numPr>
          <w:ilvl w:val="1"/>
          <w:numId w:val="81"/>
        </w:numPr>
        <w:rPr>
          <w:rFonts w:ascii="Arial" w:cs="Arial" w:eastAsia="Arial" w:hAnsi="Arial"/>
          <w:sz w:val="20"/>
          <w:szCs w:val="20"/>
          <w:color w:val="auto"/>
        </w:rPr>
      </w:pPr>
      <w:r>
        <w:rPr>
          <w:rFonts w:ascii="Arial" w:cs="Arial" w:eastAsia="Arial" w:hAnsi="Arial"/>
          <w:sz w:val="20"/>
          <w:szCs w:val="20"/>
          <w:color w:val="auto"/>
        </w:rPr>
        <w:t>Subject to the terms and conditions of this award, the Units vest in accordance with the following schedule. On each vesting date, each Unit becoming vested is automatically converted into a Share on a one-to-one basis.</w:t>
      </w:r>
    </w:p>
    <w:p>
      <w:pPr>
        <w:spacing w:after="0" w:line="184"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20"/>
          <w:szCs w:val="20"/>
          <w:color w:val="auto"/>
        </w:rPr>
      </w:pPr>
      <w:r>
        <w:rPr>
          <w:rFonts w:ascii="Arial" w:cs="Arial" w:eastAsia="Arial" w:hAnsi="Arial"/>
          <w:sz w:val="20"/>
          <w:szCs w:val="20"/>
          <w:b w:val="1"/>
          <w:bCs w:val="1"/>
          <w:color w:val="auto"/>
        </w:rPr>
        <w:t>[vesting schedule]</w:t>
      </w:r>
    </w:p>
    <w:p>
      <w:pPr>
        <w:spacing w:after="0" w:line="21" w:lineRule="exact"/>
        <w:rPr>
          <w:rFonts w:ascii="Arial" w:cs="Arial" w:eastAsia="Arial" w:hAnsi="Arial"/>
          <w:sz w:val="20"/>
          <w:szCs w:val="20"/>
          <w:color w:val="auto"/>
        </w:rPr>
      </w:pPr>
    </w:p>
    <w:p>
      <w:pPr>
        <w:spacing w:after="0"/>
        <w:tabs>
          <w:tab w:leader="none" w:pos="0" w:val="left"/>
        </w:tabs>
        <w:numPr>
          <w:ilvl w:val="0"/>
          <w:numId w:val="82"/>
        </w:numPr>
        <w:rPr>
          <w:rFonts w:ascii="Arial" w:cs="Arial" w:eastAsia="Arial" w:hAnsi="Arial"/>
          <w:sz w:val="20"/>
          <w:szCs w:val="20"/>
          <w:color w:val="auto"/>
        </w:rPr>
      </w:pPr>
    </w:p>
    <w:p>
      <w:pPr>
        <w:spacing w:after="0" w:line="213" w:lineRule="exact"/>
        <w:rPr>
          <w:sz w:val="20"/>
          <w:szCs w:val="20"/>
          <w:color w:val="auto"/>
        </w:rPr>
      </w:pPr>
    </w:p>
    <w:p>
      <w:pPr>
        <w:ind w:right="40" w:firstLine="656"/>
        <w:spacing w:after="0" w:line="272" w:lineRule="auto"/>
        <w:tabs>
          <w:tab w:leader="none" w:pos="10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vesting schedule requires that, at the time any Units vest, the Participant is, and has been at all times since the date in Section 1 above on which the Units were granted, an employee, officer or director of, or consultant or advisor to, the Company or any parent or subsidiary of the Company as defined in Section 424(e) or (f) of the United States Internal Revenue Code of 1986, as amended, and any regulations promulgated thereunder (the “Code”). Therefore, the Participant expressly accepts and agrees that any termination of his or her relationship with the Company for any reason whatsoever (including without limitation unfair or objective dismissal, permanent disability, resignation or desistance) automatically means the forfeiture of all of his or her unvested Units, with no compensation whatsoever. The Participant acknowledges and accepts that this is an essential condition of this Agreement and expressly agrees to this condition. If the Participant is employed by a parent or subsidiary of the Company, any references in this Agreement to employment by or with the Company or termination of employment by or with the Company are instead deemed to refer to such parent or subsidiary.</w:t>
      </w:r>
    </w:p>
    <w:p>
      <w:pPr>
        <w:spacing w:after="0" w:line="183" w:lineRule="exact"/>
        <w:rPr>
          <w:rFonts w:ascii="Arial" w:cs="Arial" w:eastAsia="Arial" w:hAnsi="Arial"/>
          <w:sz w:val="18"/>
          <w:szCs w:val="18"/>
          <w:color w:val="auto"/>
        </w:rPr>
      </w:pPr>
    </w:p>
    <w:p>
      <w:pPr>
        <w:ind w:firstLine="656"/>
        <w:spacing w:after="0" w:line="243" w:lineRule="auto"/>
        <w:tabs>
          <w:tab w:leader="none" w:pos="1065" w:val="left"/>
        </w:tabs>
        <w:numPr>
          <w:ilvl w:val="0"/>
          <w:numId w:val="83"/>
        </w:numPr>
        <w:rPr>
          <w:rFonts w:ascii="Arial" w:cs="Arial" w:eastAsia="Arial" w:hAnsi="Arial"/>
          <w:sz w:val="20"/>
          <w:szCs w:val="20"/>
          <w:color w:val="auto"/>
        </w:rPr>
      </w:pPr>
      <w:r>
        <w:rPr>
          <w:rFonts w:ascii="Arial" w:cs="Arial" w:eastAsia="Arial" w:hAnsi="Arial"/>
          <w:sz w:val="20"/>
          <w:szCs w:val="20"/>
          <w:color w:val="auto"/>
        </w:rPr>
        <w:t>If for any reason the Participant ceases to be an employee officer or director of, or consultant or advisor to, the Company or any parent or subsidiary of the Company as defined in Section 2(b) above (an “Eligible Participant”), then the vesting of Units ceases and the Participant has no further rights with respect to any unvested Units. If the Participant violates the non-competition or confidentiality provisions of any employment contract, confidentiality and nondisclosure agreement or other agreement between the Participant and the Company or a parent or subsidiary of the Company, then the vesting of Units ceases, and this award terminates immediately upon such violation.</w:t>
      </w:r>
    </w:p>
    <w:p>
      <w:pPr>
        <w:spacing w:after="0" w:line="209"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3.</w:t>
      </w:r>
      <w:r>
        <w:rPr>
          <w:rFonts w:ascii="Arial" w:cs="Arial" w:eastAsia="Arial" w:hAnsi="Arial"/>
          <w:sz w:val="20"/>
          <w:szCs w:val="20"/>
          <w:u w:val="single" w:color="auto"/>
          <w:color w:val="auto"/>
        </w:rPr>
        <w:t>Timing and Form of Distribution</w:t>
      </w:r>
      <w:r>
        <w:rPr>
          <w:rFonts w:ascii="Arial" w:cs="Arial" w:eastAsia="Arial" w:hAnsi="Arial"/>
          <w:sz w:val="20"/>
          <w:szCs w:val="20"/>
          <w:color w:val="auto"/>
        </w:rPr>
        <w:t>. The Company shall distribute to the Participant Shares on a one-to-one basis with respect to the Units that become vested on each vesting date, as soon as practicable after each vesting date but in no event later than 45 days after the applicable vesting date, except that in the case of Participants who are not subject to U.S. income taxes on this award, the Distribution Date may be a later date if required by local law. Each date of distribution of Shares is referred to as the “Distribution Date.” The Participant receives distributions only with respect to his or her vested Units and has no right to a distribution of Shares with respect to unvested Units unless and until such Units vest.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80"/>
          </w:cols>
          <w:pgMar w:left="320" w:top="568" w:right="399" w:bottom="1440" w:gutter="0" w:footer="0" w:header="0"/>
        </w:sectPr>
      </w:pPr>
    </w:p>
    <w:bookmarkStart w:id="123" w:name="page124"/>
    <w:bookmarkEnd w:id="123"/>
    <w:p>
      <w:pPr>
        <w:ind w:right="300"/>
        <w:spacing w:after="0" w:line="246" w:lineRule="auto"/>
        <w:rPr>
          <w:sz w:val="20"/>
          <w:szCs w:val="20"/>
          <w:color w:val="auto"/>
        </w:rPr>
      </w:pPr>
      <w:r>
        <w:rPr>
          <w:rFonts w:ascii="Arial" w:cs="Arial" w:eastAsia="Arial" w:hAnsi="Arial"/>
          <w:sz w:val="20"/>
          <w:szCs w:val="20"/>
          <w:color w:val="auto"/>
        </w:rPr>
        <w:t>Once a Share with respect to a vested Unit has been distributed pursuant to this award, the Participant has no further rights with respect to that Unit.</w:t>
      </w:r>
    </w:p>
    <w:p>
      <w:pPr>
        <w:spacing w:after="0" w:line="190" w:lineRule="exact"/>
        <w:rPr>
          <w:sz w:val="20"/>
          <w:szCs w:val="20"/>
          <w:color w:val="auto"/>
        </w:rPr>
      </w:pPr>
    </w:p>
    <w:p>
      <w:pPr>
        <w:ind w:right="100" w:firstLine="8"/>
        <w:spacing w:after="0" w:line="273" w:lineRule="auto"/>
        <w:tabs>
          <w:tab w:leader="none" w:pos="346"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Participant is required to satisfy the payment of any Withholding Taxes required to be withheld with respect to the vesting of Units. “Withholding Taxes” includes, as applicable and without limitation, federal, state, local, foreign and provincial income tax, social insurance contributions, payroll tax, payment on account or other tax-related items. The Participant acknowledges that the ultimate liability for all taxes relating to this award is and remains the Participant’s responsibility and may exceed the amount that the Company withholds. The Company has no obligation to structure the terms of this award to reduce or eliminate the Participant’s liability for Withholding Taxes or to achieve any particular tax result. Furthermore, if the Participant is subject to tax in more than one jurisdiction, the Participant acknowledges that the Company may be required to withhold or account for Withholding Taxes in more than one jurisdiction. In order to satisfy the Withholding Taxes owed with respect to the vesting of Units, the Participant agrees as follows:</w:t>
      </w:r>
    </w:p>
    <w:p>
      <w:pPr>
        <w:spacing w:after="0" w:line="181" w:lineRule="exact"/>
        <w:rPr>
          <w:rFonts w:ascii="Arial" w:cs="Arial" w:eastAsia="Arial" w:hAnsi="Arial"/>
          <w:sz w:val="18"/>
          <w:szCs w:val="18"/>
          <w:color w:val="auto"/>
        </w:rPr>
      </w:pPr>
    </w:p>
    <w:p>
      <w:pPr>
        <w:ind w:right="80" w:firstLine="656"/>
        <w:spacing w:after="0" w:line="246" w:lineRule="auto"/>
        <w:tabs>
          <w:tab w:leader="none" w:pos="1065" w:val="left"/>
        </w:tabs>
        <w:numPr>
          <w:ilvl w:val="1"/>
          <w:numId w:val="84"/>
        </w:numPr>
        <w:rPr>
          <w:rFonts w:ascii="Arial" w:cs="Arial" w:eastAsia="Arial" w:hAnsi="Arial"/>
          <w:sz w:val="20"/>
          <w:szCs w:val="20"/>
          <w:color w:val="auto"/>
        </w:rPr>
      </w:pPr>
      <w:r>
        <w:rPr>
          <w:rFonts w:ascii="Arial" w:cs="Arial" w:eastAsia="Arial" w:hAnsi="Arial"/>
          <w:sz w:val="20"/>
          <w:szCs w:val="20"/>
          <w:color w:val="auto"/>
        </w:rPr>
        <w:t>Unless the Company, in its sole discretion, determines that the procedure set forth in this Section 4(a) is not advisable or unless the Participant is subject to Swiss income taxes on any income from this award, at the Distribution Date the Company shall withhold a number of Shares with a fair market value equal to the amount necessary to satisfy the minimum amount of Withholding Taxes due on such Distribution Date.</w:t>
      </w:r>
    </w:p>
    <w:p>
      <w:pPr>
        <w:spacing w:after="0" w:line="204" w:lineRule="exact"/>
        <w:rPr>
          <w:rFonts w:ascii="Arial" w:cs="Arial" w:eastAsia="Arial" w:hAnsi="Arial"/>
          <w:sz w:val="20"/>
          <w:szCs w:val="20"/>
          <w:color w:val="auto"/>
        </w:rPr>
      </w:pPr>
    </w:p>
    <w:p>
      <w:pPr>
        <w:ind w:firstLine="656"/>
        <w:spacing w:after="0" w:line="255" w:lineRule="auto"/>
        <w:tabs>
          <w:tab w:leader="none" w:pos="1077" w:val="left"/>
        </w:tabs>
        <w:numPr>
          <w:ilvl w:val="1"/>
          <w:numId w:val="84"/>
        </w:numPr>
        <w:rPr>
          <w:rFonts w:ascii="Arial" w:cs="Arial" w:eastAsia="Arial" w:hAnsi="Arial"/>
          <w:sz w:val="19"/>
          <w:szCs w:val="19"/>
          <w:color w:val="auto"/>
        </w:rPr>
      </w:pPr>
      <w:r>
        <w:rPr>
          <w:rFonts w:ascii="Arial" w:cs="Arial" w:eastAsia="Arial" w:hAnsi="Arial"/>
          <w:sz w:val="19"/>
          <w:szCs w:val="19"/>
          <w:color w:val="auto"/>
        </w:rPr>
        <w:t>If the Company, in its sole discretion, determines that the procedure set forth in Section 4(a) is not advisable or sufficient or if the Participant is subject to Swiss income taxes on any income from this award, then the Participant, as a condition to receiving any Shares upon the vesting of Units, shall (i) pay to the Company, by cash or check, or in the sole discretion of the Company, payroll deduction, an amount sufficient to satisfy any Withholding Taxes or otherwise make arrangements satisfactory to the Company for the payment of such amounts (including through offset of any amounts otherwise payable by the Company to the Participant, including salary or other compensation); or (ii) if the Company requires, make an arrangement that is acceptable to the Company with a creditworthy broker to sell the number of Shares that the Company has instructed such broker is necessary to obtain proceeds sufficient to satisfy the Withholding Taxes applicable to the Shares to be distributed to the Participant on the Distribution Date and to remit such proceeds to the Company; or (iii) only if the Participant is subject to Swiss income taxes on any income from this award, instruct the Company to withhold Shares as set forth in Section 4(a) above. The Participant agrees to execute and deliver such documents as may be reasonably required in connection with the sale of any Shares pursuant to this Section 4(b).</w:t>
      </w:r>
    </w:p>
    <w:p>
      <w:pPr>
        <w:spacing w:after="0" w:line="200" w:lineRule="exact"/>
        <w:rPr>
          <w:rFonts w:ascii="Arial" w:cs="Arial" w:eastAsia="Arial" w:hAnsi="Arial"/>
          <w:sz w:val="19"/>
          <w:szCs w:val="19"/>
          <w:color w:val="auto"/>
        </w:rPr>
      </w:pPr>
    </w:p>
    <w:p>
      <w:pPr>
        <w:ind w:right="80" w:firstLine="8"/>
        <w:spacing w:after="0" w:line="255" w:lineRule="auto"/>
        <w:tabs>
          <w:tab w:leader="none" w:pos="34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Participant shall not sell, assign, transfer, pledge or otherwise encumber this award, either voluntarily or by operation of law, except by will or the laws of descent and distribution. However, with respect to any award that is exempt from the provisions of Section 409A of the Code and the guidance thereunder (“Section 409A”) or with respect to a Participant who is not subject to U.S. income taxes on any income from this award, the Participant may transfer the award (a) pursuant to a qualified domestic relations order or (b) if the Company consents, to or for the benefit of any immediate family member, family trust, family partnership or family limited liability company established solely for the benefit of the holder and/or an immediate family member of the holder, if, in each case, as a condition to the transfer the transferee agrees to be subject to, and bound by, the terms of this Agreement. However, the Participant shall not transfer this award to any proposed transferee if, with respect to such proposed transferee, the Company would not be eligible to use a Form S-8 for the registration of the issuance and sale of the Shares subject to this award under the United States Securities Act of 1933, as amended.</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339" w:right="359" w:bottom="1440" w:gutter="0" w:footer="0" w:header="0"/>
        </w:sectPr>
      </w:pPr>
    </w:p>
    <w:bookmarkStart w:id="124" w:name="page125"/>
    <w:bookmarkEnd w:id="124"/>
    <w:p>
      <w:pPr>
        <w:ind w:left="-8" w:right="120" w:firstLine="8"/>
        <w:spacing w:after="0" w:line="263" w:lineRule="auto"/>
        <w:tabs>
          <w:tab w:leader="none" w:pos="33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 Right to Employment or Other Status</w:t>
      </w:r>
      <w:r>
        <w:rPr>
          <w:rFonts w:ascii="Arial" w:cs="Arial" w:eastAsia="Arial" w:hAnsi="Arial"/>
          <w:sz w:val="19"/>
          <w:szCs w:val="19"/>
          <w:color w:val="auto"/>
        </w:rPr>
        <w:t>. This award shall not be construed as giving the Participant the right to continued employment or any other relationship with the Company or any parent or subsidiary of the Company. The Company and any parent or subsidiary of the Company expressly reserve the right to dismiss or otherwise terminate its relationship with the Participant free from any liability or claim under the Plan or this award, except as expressly provided in this award.</w:t>
      </w:r>
    </w:p>
    <w:p>
      <w:pPr>
        <w:spacing w:after="0" w:line="189" w:lineRule="exact"/>
        <w:rPr>
          <w:rFonts w:ascii="Arial" w:cs="Arial" w:eastAsia="Arial" w:hAnsi="Arial"/>
          <w:sz w:val="19"/>
          <w:szCs w:val="19"/>
          <w:color w:val="auto"/>
        </w:rPr>
      </w:pPr>
    </w:p>
    <w:p>
      <w:pPr>
        <w:ind w:left="-8" w:right="220" w:firstLine="8"/>
        <w:spacing w:after="0" w:line="260" w:lineRule="auto"/>
        <w:tabs>
          <w:tab w:leader="none" w:pos="33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No Rights as Shareholder</w:t>
      </w:r>
      <w:r>
        <w:rPr>
          <w:rFonts w:ascii="Arial" w:cs="Arial" w:eastAsia="Arial" w:hAnsi="Arial"/>
          <w:sz w:val="20"/>
          <w:szCs w:val="20"/>
          <w:color w:val="auto"/>
        </w:rPr>
        <w:t>. The Participant has no rights as a shareholder with respect to any Shares distributable under this award until such Shares are issued to the Participant.</w:t>
      </w:r>
    </w:p>
    <w:p>
      <w:pPr>
        <w:spacing w:after="0" w:line="190" w:lineRule="exact"/>
        <w:rPr>
          <w:rFonts w:ascii="Arial" w:cs="Arial" w:eastAsia="Arial" w:hAnsi="Arial"/>
          <w:sz w:val="20"/>
          <w:szCs w:val="20"/>
          <w:color w:val="auto"/>
        </w:rPr>
      </w:pPr>
    </w:p>
    <w:p>
      <w:pPr>
        <w:ind w:left="352" w:hanging="352"/>
        <w:spacing w:after="0"/>
        <w:tabs>
          <w:tab w:leader="none" w:pos="35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This award is subject to the provisions of the Plan, a copy of which is furnished to the Participant with this award.</w:t>
      </w:r>
    </w:p>
    <w:p>
      <w:pPr>
        <w:spacing w:after="0" w:line="246" w:lineRule="exact"/>
        <w:rPr>
          <w:rFonts w:ascii="Arial" w:cs="Arial" w:eastAsia="Arial" w:hAnsi="Arial"/>
          <w:sz w:val="18"/>
          <w:szCs w:val="18"/>
          <w:color w:val="auto"/>
        </w:rPr>
      </w:pPr>
    </w:p>
    <w:p>
      <w:pPr>
        <w:ind w:left="352" w:hanging="352"/>
        <w:spacing w:after="0"/>
        <w:tabs>
          <w:tab w:leader="none" w:pos="352"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Nature of the Grant</w:t>
      </w:r>
      <w:r>
        <w:rPr>
          <w:rFonts w:ascii="Arial" w:cs="Arial" w:eastAsia="Arial" w:hAnsi="Arial"/>
          <w:sz w:val="20"/>
          <w:szCs w:val="20"/>
          <w:b w:val="1"/>
          <w:bCs w:val="1"/>
          <w:color w:val="auto"/>
        </w:rPr>
        <w:t>.</w:t>
      </w:r>
      <w:r>
        <w:rPr>
          <w:rFonts w:ascii="Arial" w:cs="Arial" w:eastAsia="Arial" w:hAnsi="Arial"/>
          <w:sz w:val="20"/>
          <w:szCs w:val="20"/>
          <w:color w:val="auto"/>
        </w:rPr>
        <w:t xml:space="preserve"> By accepting this Agreement, the Participant acknowledges as follows:</w:t>
      </w:r>
    </w:p>
    <w:p>
      <w:pPr>
        <w:spacing w:after="0" w:line="235" w:lineRule="exact"/>
        <w:rPr>
          <w:rFonts w:ascii="Arial" w:cs="Arial" w:eastAsia="Arial" w:hAnsi="Arial"/>
          <w:sz w:val="20"/>
          <w:szCs w:val="20"/>
          <w:color w:val="auto"/>
        </w:rPr>
      </w:pPr>
    </w:p>
    <w:p>
      <w:pPr>
        <w:ind w:left="-8" w:right="360" w:firstLine="656"/>
        <w:spacing w:after="0" w:line="260" w:lineRule="auto"/>
        <w:tabs>
          <w:tab w:leader="none" w:pos="1054" w:val="left"/>
        </w:tabs>
        <w:numPr>
          <w:ilvl w:val="1"/>
          <w:numId w:val="85"/>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modified, amended, suspended or terminated by the Company at any time, to the extent permitted by the Plan.</w:t>
      </w:r>
    </w:p>
    <w:p>
      <w:pPr>
        <w:spacing w:after="0" w:line="190" w:lineRule="exact"/>
        <w:rPr>
          <w:rFonts w:ascii="Arial" w:cs="Arial" w:eastAsia="Arial" w:hAnsi="Arial"/>
          <w:sz w:val="20"/>
          <w:szCs w:val="20"/>
          <w:color w:val="auto"/>
        </w:rPr>
      </w:pPr>
    </w:p>
    <w:p>
      <w:pPr>
        <w:ind w:left="-8" w:right="240" w:firstLine="656"/>
        <w:spacing w:after="0" w:line="269" w:lineRule="auto"/>
        <w:tabs>
          <w:tab w:leader="none" w:pos="1065"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grant of the Units is exceptional, voluntary and occasional and does not create any contractual or other right to receive future awards of Units or Shares or benefits in lieu of Units or Shares even if Units have been awarded repeatedly in the past. All decisions with respect to future grants of Units and/or Shares, if any, are at the Company’s sole discretion.</w:t>
      </w:r>
    </w:p>
    <w:p>
      <w:pPr>
        <w:spacing w:after="0" w:line="183" w:lineRule="exact"/>
        <w:rPr>
          <w:rFonts w:ascii="Arial" w:cs="Arial" w:eastAsia="Arial" w:hAnsi="Arial"/>
          <w:sz w:val="19"/>
          <w:szCs w:val="19"/>
          <w:color w:val="auto"/>
        </w:rPr>
      </w:pPr>
    </w:p>
    <w:p>
      <w:pPr>
        <w:ind w:left="-8" w:right="120" w:firstLine="656"/>
        <w:spacing w:after="0" w:line="287" w:lineRule="auto"/>
        <w:tabs>
          <w:tab w:leader="none" w:pos="1054"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Units and Shares are extraordinary items that do not constitute compensation of any kind for services of any kind rendered to the Company, and the Units are outside the scope of the Participant’s employment or services contract, if any.</w:t>
      </w:r>
    </w:p>
    <w:p>
      <w:pPr>
        <w:spacing w:after="0" w:line="165" w:lineRule="exact"/>
        <w:rPr>
          <w:rFonts w:ascii="Arial" w:cs="Arial" w:eastAsia="Arial" w:hAnsi="Arial"/>
          <w:sz w:val="19"/>
          <w:szCs w:val="19"/>
          <w:color w:val="auto"/>
        </w:rPr>
      </w:pPr>
    </w:p>
    <w:p>
      <w:pPr>
        <w:ind w:left="1072" w:hanging="424"/>
        <w:spacing w:after="0"/>
        <w:tabs>
          <w:tab w:leader="none" w:pos="1072" w:val="left"/>
        </w:tabs>
        <w:numPr>
          <w:ilvl w:val="1"/>
          <w:numId w:val="85"/>
        </w:numPr>
        <w:rPr>
          <w:rFonts w:ascii="Arial" w:cs="Arial" w:eastAsia="Arial" w:hAnsi="Arial"/>
          <w:sz w:val="20"/>
          <w:szCs w:val="20"/>
          <w:color w:val="auto"/>
        </w:rPr>
      </w:pPr>
      <w:r>
        <w:rPr>
          <w:rFonts w:ascii="Arial" w:cs="Arial" w:eastAsia="Arial" w:hAnsi="Arial"/>
          <w:sz w:val="20"/>
          <w:szCs w:val="20"/>
          <w:color w:val="auto"/>
        </w:rPr>
        <w:t>The Participant is voluntarily participating in the Plan.</w:t>
      </w:r>
    </w:p>
    <w:p>
      <w:pPr>
        <w:spacing w:after="0" w:line="229" w:lineRule="exact"/>
        <w:rPr>
          <w:rFonts w:ascii="Arial" w:cs="Arial" w:eastAsia="Arial" w:hAnsi="Arial"/>
          <w:sz w:val="20"/>
          <w:szCs w:val="20"/>
          <w:color w:val="auto"/>
        </w:rPr>
      </w:pPr>
    </w:p>
    <w:p>
      <w:pPr>
        <w:ind w:left="-8" w:right="560" w:firstLine="656"/>
        <w:spacing w:after="0" w:line="260" w:lineRule="auto"/>
        <w:tabs>
          <w:tab w:leader="none" w:pos="1054" w:val="left"/>
        </w:tabs>
        <w:numPr>
          <w:ilvl w:val="1"/>
          <w:numId w:val="85"/>
        </w:numPr>
        <w:rPr>
          <w:rFonts w:ascii="Arial" w:cs="Arial" w:eastAsia="Arial" w:hAnsi="Arial"/>
          <w:sz w:val="20"/>
          <w:szCs w:val="20"/>
          <w:color w:val="auto"/>
        </w:rPr>
      </w:pPr>
      <w:r>
        <w:rPr>
          <w:rFonts w:ascii="Arial" w:cs="Arial" w:eastAsia="Arial" w:hAnsi="Arial"/>
          <w:sz w:val="20"/>
          <w:szCs w:val="20"/>
          <w:color w:val="auto"/>
        </w:rPr>
        <w:t>The Units, the Shares, and the income and value of the RSUs and Shares are not intended to replace any pension rights or compensation.</w:t>
      </w:r>
    </w:p>
    <w:p>
      <w:pPr>
        <w:spacing w:after="0" w:line="190" w:lineRule="exact"/>
        <w:rPr>
          <w:rFonts w:ascii="Arial" w:cs="Arial" w:eastAsia="Arial" w:hAnsi="Arial"/>
          <w:sz w:val="20"/>
          <w:szCs w:val="20"/>
          <w:color w:val="auto"/>
        </w:rPr>
      </w:pPr>
    </w:p>
    <w:p>
      <w:pPr>
        <w:ind w:left="-8" w:firstLine="656"/>
        <w:spacing w:after="0" w:line="263" w:lineRule="auto"/>
        <w:tabs>
          <w:tab w:leader="none" w:pos="1032"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Units, the Shares, and the income and value of the Units and Shares are not part of normal or expected compensation or salary for any purpose (including but not limited to the calculation of any severance, resignation, termination, redundancy, dismissal or end of service payments; bonuses; long-service awards; pension, retirement or welfare benefits; or similar payments) and in no event should be considered as compensation for, or relating in any way to, past services for the Company.</w:t>
      </w:r>
    </w:p>
    <w:p>
      <w:pPr>
        <w:spacing w:after="0" w:line="189" w:lineRule="exact"/>
        <w:rPr>
          <w:rFonts w:ascii="Arial" w:cs="Arial" w:eastAsia="Arial" w:hAnsi="Arial"/>
          <w:sz w:val="19"/>
          <w:szCs w:val="19"/>
          <w:color w:val="auto"/>
        </w:rPr>
      </w:pPr>
    </w:p>
    <w:p>
      <w:pPr>
        <w:ind w:left="-8" w:right="380" w:firstLine="656"/>
        <w:spacing w:after="0" w:line="316" w:lineRule="auto"/>
        <w:tabs>
          <w:tab w:leader="none" w:pos="1069" w:val="left"/>
        </w:tabs>
        <w:numPr>
          <w:ilvl w:val="1"/>
          <w:numId w:val="85"/>
        </w:numPr>
        <w:rPr>
          <w:rFonts w:ascii="Arial" w:cs="Arial" w:eastAsia="Arial" w:hAnsi="Arial"/>
          <w:sz w:val="18"/>
          <w:szCs w:val="18"/>
          <w:color w:val="auto"/>
        </w:rPr>
      </w:pPr>
      <w:r>
        <w:rPr>
          <w:rFonts w:ascii="Arial" w:cs="Arial" w:eastAsia="Arial" w:hAnsi="Arial"/>
          <w:sz w:val="18"/>
          <w:szCs w:val="18"/>
          <w:color w:val="auto"/>
        </w:rPr>
        <w:t>Unless the parties otherwise agree, the Units, the Shares, and the income and value of the same are not consideration for, or granted in connection with, any service the Participant may provide as a director of a subsidiary of the Company.</w:t>
      </w:r>
    </w:p>
    <w:p>
      <w:pPr>
        <w:spacing w:after="0" w:line="143" w:lineRule="exact"/>
        <w:rPr>
          <w:rFonts w:ascii="Arial" w:cs="Arial" w:eastAsia="Arial" w:hAnsi="Arial"/>
          <w:sz w:val="18"/>
          <w:szCs w:val="18"/>
          <w:color w:val="auto"/>
        </w:rPr>
      </w:pPr>
    </w:p>
    <w:p>
      <w:pPr>
        <w:ind w:left="-8" w:firstLine="656"/>
        <w:spacing w:after="0" w:line="260" w:lineRule="auto"/>
        <w:tabs>
          <w:tab w:leader="none" w:pos="1065" w:val="left"/>
        </w:tabs>
        <w:numPr>
          <w:ilvl w:val="1"/>
          <w:numId w:val="85"/>
        </w:numPr>
        <w:rPr>
          <w:rFonts w:ascii="Arial" w:cs="Arial" w:eastAsia="Arial" w:hAnsi="Arial"/>
          <w:sz w:val="20"/>
          <w:szCs w:val="20"/>
          <w:color w:val="auto"/>
        </w:rPr>
      </w:pPr>
      <w:r>
        <w:rPr>
          <w:rFonts w:ascii="Arial" w:cs="Arial" w:eastAsia="Arial" w:hAnsi="Arial"/>
          <w:sz w:val="20"/>
          <w:szCs w:val="20"/>
          <w:color w:val="auto"/>
        </w:rPr>
        <w:t>The future value of the Shares is unknown and cannot be predicted with certainty. If the Participant receives Shares, the value of such Shares may increase or decrease in value.</w:t>
      </w:r>
    </w:p>
    <w:p>
      <w:pPr>
        <w:spacing w:after="0" w:line="190" w:lineRule="exact"/>
        <w:rPr>
          <w:rFonts w:ascii="Arial" w:cs="Arial" w:eastAsia="Arial" w:hAnsi="Arial"/>
          <w:sz w:val="20"/>
          <w:szCs w:val="20"/>
          <w:color w:val="auto"/>
        </w:rPr>
      </w:pPr>
    </w:p>
    <w:p>
      <w:pPr>
        <w:ind w:left="-8" w:right="20" w:firstLine="656"/>
        <w:spacing w:after="0" w:line="244" w:lineRule="auto"/>
        <w:tabs>
          <w:tab w:leader="none" w:pos="1025" w:val="left"/>
        </w:tabs>
        <w:numPr>
          <w:ilvl w:val="1"/>
          <w:numId w:val="85"/>
        </w:numPr>
        <w:rPr>
          <w:rFonts w:ascii="Arial" w:cs="Arial" w:eastAsia="Arial" w:hAnsi="Arial"/>
          <w:sz w:val="20"/>
          <w:szCs w:val="20"/>
          <w:color w:val="auto"/>
        </w:rPr>
      </w:pPr>
      <w:r>
        <w:rPr>
          <w:rFonts w:ascii="Arial" w:cs="Arial" w:eastAsia="Arial" w:hAnsi="Arial"/>
          <w:sz w:val="20"/>
          <w:szCs w:val="20"/>
          <w:color w:val="auto"/>
        </w:rPr>
        <w:t>In consideration of the grant of the Units, no claim or entitlement to compensation or damages arises from termination of the Units or Shares, diminution in value of the Shares or termination of the Participant’s employment or other service relationship by the Company for any reason whatsoever and whether or not in breach of applicable labor laws or the Participant’s employment agreement, if any. The Participant irrevocably releases the Company from any such claim that may arise. If, notwithstanding the foregoing, any such claim is found by a court of competent jurisdiction to have arisen, then, by</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32"/>
          </w:cols>
          <w:pgMar w:left="328" w:top="339" w:right="33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color w:val="auto"/>
        </w:rPr>
        <w:t>accepting this Agreement, the Participant is deemed irrevocably to have waived his or her entitlement to pursue such claim.</w:t>
      </w:r>
    </w:p>
    <w:p>
      <w:pPr>
        <w:spacing w:after="0" w:line="229" w:lineRule="exact"/>
        <w:rPr>
          <w:sz w:val="20"/>
          <w:szCs w:val="20"/>
          <w:color w:val="auto"/>
        </w:rPr>
      </w:pPr>
    </w:p>
    <w:p>
      <w:pPr>
        <w:ind w:right="180" w:firstLine="656"/>
        <w:spacing w:after="0" w:line="278" w:lineRule="auto"/>
        <w:tabs>
          <w:tab w:leader="none" w:pos="1033" w:val="left"/>
        </w:tabs>
        <w:numPr>
          <w:ilvl w:val="1"/>
          <w:numId w:val="86"/>
        </w:numPr>
        <w:rPr>
          <w:rFonts w:ascii="Arial" w:cs="Arial" w:eastAsia="Arial" w:hAnsi="Arial"/>
          <w:sz w:val="18"/>
          <w:szCs w:val="18"/>
          <w:color w:val="auto"/>
        </w:rPr>
      </w:pPr>
      <w:r>
        <w:rPr>
          <w:rFonts w:ascii="Arial" w:cs="Arial" w:eastAsia="Arial" w:hAnsi="Arial"/>
          <w:sz w:val="18"/>
          <w:szCs w:val="18"/>
          <w:color w:val="auto"/>
        </w:rPr>
        <w:t>Further, if the Participant ceases to be an Eligible Participant for any reason whatsoever and whether or not in breach of applicable labor laws or the Participant’s employment agreement, if any, the Participant’s right to vesting of the Units under this Agreement and the Plan, if any, terminates effective as of the date that the Participant is no longer actively employed by the Company or is no longer otherwise an Eligible Participant, and will not be extended by any notice period mandated under applicable law. The Company has the exclusive discretion to determine when the Participant is no longer an Eligible Participant for purposes of this Agreement and the Plan.</w:t>
      </w:r>
    </w:p>
    <w:p>
      <w:pPr>
        <w:spacing w:after="0" w:line="178" w:lineRule="exact"/>
        <w:rPr>
          <w:rFonts w:ascii="Arial" w:cs="Arial" w:eastAsia="Arial" w:hAnsi="Arial"/>
          <w:sz w:val="18"/>
          <w:szCs w:val="18"/>
          <w:color w:val="auto"/>
        </w:rPr>
      </w:pPr>
    </w:p>
    <w:p>
      <w:pPr>
        <w:ind w:right="20" w:firstLine="656"/>
        <w:spacing w:after="0" w:line="291" w:lineRule="auto"/>
        <w:tabs>
          <w:tab w:leader="none" w:pos="1073"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Participant acknowledges and agrees that neither the Company nor any of its affiliates or agents is liable for any foreign exchange rate fluctuation between Participant’s local currency and the United States Dollar that may affect the value of the Units or Shares or of any amounts due to Participant pursuant to the vesting of the Units or the subsequent sale of any Shares acquired upon vesting.</w:t>
      </w:r>
    </w:p>
    <w:p>
      <w:pPr>
        <w:spacing w:after="0" w:line="165" w:lineRule="exact"/>
        <w:rPr>
          <w:rFonts w:ascii="Arial" w:cs="Arial" w:eastAsia="Arial" w:hAnsi="Arial"/>
          <w:sz w:val="18"/>
          <w:szCs w:val="18"/>
          <w:color w:val="auto"/>
        </w:rPr>
      </w:pPr>
    </w:p>
    <w:p>
      <w:pPr>
        <w:ind w:firstLine="8"/>
        <w:spacing w:after="0" w:line="278" w:lineRule="auto"/>
        <w:tabs>
          <w:tab w:leader="none" w:pos="44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 in the Plan, on the Units and on any Shares acquired under the Plan to the extent the Company determines it is necessary or advisable in order to comply with federal, state, local, foreign or provincial laws or to facilitate the administration of the Plan, except that with respect to awards that are subject to Section 409A, to the extent so permitted under Section 409A. Furthermore, the parties hereto agree to execute such further instruments and to take such further action as may reasonably be necessary to carry out the intent of this Agreement and the Plan.</w:t>
      </w:r>
    </w:p>
    <w:p>
      <w:pPr>
        <w:spacing w:after="0" w:line="178" w:lineRule="exact"/>
        <w:rPr>
          <w:rFonts w:ascii="Arial" w:cs="Arial" w:eastAsia="Arial" w:hAnsi="Arial"/>
          <w:sz w:val="18"/>
          <w:szCs w:val="18"/>
          <w:color w:val="auto"/>
        </w:rPr>
      </w:pPr>
    </w:p>
    <w:p>
      <w:pPr>
        <w:ind w:left="440" w:hanging="432"/>
        <w:spacing w:after="0"/>
        <w:tabs>
          <w:tab w:leader="none" w:pos="44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180" w:firstLine="656"/>
        <w:spacing w:after="0" w:line="260" w:lineRule="auto"/>
        <w:tabs>
          <w:tab w:leader="none" w:pos="1062"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Participant is hereby informed that Cimpress plc will collect from the Participant through his or her employer (if not employed by Cimpress plc) certain personal information about the Participant, including the Participant’s personal data, such as his or her name, home address and telephone number, email address, date of birth, social security/insurance number, passport or other identification number, salary, nationality, job title, any Shares or directorships held in the Company, details of all RSUs or any other entitlement to Shares awarded, canceled, exercised, vested, unvested or outstanding in the Participant’s favor (“</w:t>
      </w:r>
      <w:r>
        <w:rPr>
          <w:rFonts w:ascii="Arial" w:cs="Arial" w:eastAsia="Arial" w:hAnsi="Arial"/>
          <w:sz w:val="19"/>
          <w:szCs w:val="19"/>
          <w:b w:val="1"/>
          <w:bCs w:val="1"/>
          <w:i w:val="1"/>
          <w:iCs w:val="1"/>
          <w:color w:val="auto"/>
        </w:rPr>
        <w:t>Data</w:t>
      </w:r>
      <w:r>
        <w:rPr>
          <w:rFonts w:ascii="Arial" w:cs="Arial" w:eastAsia="Arial" w:hAnsi="Arial"/>
          <w:sz w:val="19"/>
          <w:szCs w:val="19"/>
          <w:color w:val="auto"/>
        </w:rPr>
        <w:t>”).</w:t>
      </w:r>
    </w:p>
    <w:p>
      <w:pPr>
        <w:spacing w:after="0" w:line="193" w:lineRule="exact"/>
        <w:rPr>
          <w:rFonts w:ascii="Arial" w:cs="Arial" w:eastAsia="Arial" w:hAnsi="Arial"/>
          <w:sz w:val="19"/>
          <w:szCs w:val="19"/>
          <w:color w:val="auto"/>
        </w:rPr>
      </w:pPr>
    </w:p>
    <w:p>
      <w:pPr>
        <w:ind w:right="20" w:firstLine="656"/>
        <w:spacing w:after="0" w:line="243" w:lineRule="auto"/>
        <w:tabs>
          <w:tab w:leader="none" w:pos="1073"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Participant is hereby informed and aware that Cimpress plc will collect and process the Data described above to perform (i) its contractual obligations and activities pursuant to this Agreement and the Plan, as well as (ii) those activities in conformity with applicable law and regulations that Cimpress plc as a publicly traded company at the NASDAQ Global Select Market must adhere to. Such data processing activities of the Participant´s Data by Cimpress plc will therefore be for purposes including but not limited to implementing, administering and managing the Plan. Cimpress plc will process the Participant´s Data as described in this Section 11 for the term of this Agreement and after its termination for a period as required by the Plan, by law or as necessary for the protection of the Company´s legitimate interests.</w:t>
      </w:r>
    </w:p>
    <w:p>
      <w:pPr>
        <w:spacing w:after="0" w:line="206" w:lineRule="exact"/>
        <w:rPr>
          <w:rFonts w:ascii="Arial" w:cs="Arial" w:eastAsia="Arial" w:hAnsi="Arial"/>
          <w:sz w:val="20"/>
          <w:szCs w:val="20"/>
          <w:color w:val="auto"/>
        </w:rPr>
      </w:pPr>
    </w:p>
    <w:p>
      <w:pPr>
        <w:ind w:right="100" w:firstLine="656"/>
        <w:spacing w:after="0" w:line="260" w:lineRule="auto"/>
        <w:tabs>
          <w:tab w:leader="none" w:pos="1062"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Participant will, in connection with the RSUs and the acquisition, holding and/or transfer of Shares or cash resulting from participation in the Plan, be provided with a brokerage account set up and managed by E*TRADE Financial Services, Inc. (including E*TRADE Securities LLC and any other involved affiliates or successors), a stock plan service provider located in the United States or such other stock plan service provider as the Company may select in the future (the “</w:t>
      </w:r>
      <w:r>
        <w:rPr>
          <w:rFonts w:ascii="Arial" w:cs="Arial" w:eastAsia="Arial" w:hAnsi="Arial"/>
          <w:sz w:val="19"/>
          <w:szCs w:val="19"/>
          <w:b w:val="1"/>
          <w:bCs w:val="1"/>
          <w:i w:val="1"/>
          <w:iCs w:val="1"/>
          <w:color w:val="auto"/>
        </w:rPr>
        <w:t>Service Provider</w:t>
      </w:r>
      <w:r>
        <w:rPr>
          <w:rFonts w:ascii="Arial" w:cs="Arial" w:eastAsia="Arial" w:hAnsi="Arial"/>
          <w:sz w:val="19"/>
          <w:szCs w:val="19"/>
          <w:color w:val="auto"/>
        </w:rPr>
        <w:t>”). As such, the Participant is hereby informed and aware that Cimpress plc will use and transfer (with assistance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39" w:right="339" w:bottom="1440" w:gutter="0" w:footer="0" w:header="0"/>
        </w:sectPr>
      </w:pPr>
    </w:p>
    <w:bookmarkStart w:id="126" w:name="page127"/>
    <w:bookmarkEnd w:id="126"/>
    <w:p>
      <w:pPr>
        <w:ind w:right="220"/>
        <w:spacing w:after="0" w:line="246" w:lineRule="auto"/>
        <w:rPr>
          <w:sz w:val="20"/>
          <w:szCs w:val="20"/>
          <w:color w:val="auto"/>
        </w:rPr>
      </w:pPr>
      <w:r>
        <w:rPr>
          <w:rFonts w:ascii="Arial" w:cs="Arial" w:eastAsia="Arial" w:hAnsi="Arial"/>
          <w:sz w:val="20"/>
          <w:szCs w:val="20"/>
          <w:color w:val="auto"/>
        </w:rPr>
        <w:t>of its subsidiary Cimpress USA Incorporated as described below under Section 11(e)), in electronic or other form, the Participant´s Data to the Service Provider insofar such use and transfer to the Service Provider of the Participant´s Data is necessary for the set up and management of the individual stock brokerage accounts and further related contractual obligations that apply to Cimpress plc under this Agreement and the Plan.</w:t>
      </w:r>
    </w:p>
    <w:p>
      <w:pPr>
        <w:spacing w:after="0" w:line="205" w:lineRule="exact"/>
        <w:rPr>
          <w:sz w:val="20"/>
          <w:szCs w:val="20"/>
          <w:color w:val="auto"/>
        </w:rPr>
      </w:pPr>
    </w:p>
    <w:p>
      <w:pPr>
        <w:ind w:firstLine="656"/>
        <w:spacing w:after="0" w:line="271" w:lineRule="auto"/>
        <w:tabs>
          <w:tab w:leader="none" w:pos="10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Cimpress plc is, with regard to the implementation, administration and management of the Plan, assisted within the Cimpress group of companies by its subsidiary Cimpress USA Incorporated. The Participant is hereby informed and aware that his or her Data, including his or her personal data, can therefore be transferred by Cimpress plc/Company to Cimpress USA Incorporated (or any other affiliated company in the Cimpress-group providing global-equity related services to Cimpress plc/Company) if the transfer of the Participant ´s Data is necessary because the legitimate interests of Cimpress plc/Company require that the Data be handled by a US-entity for purposes including but not limited to the global administration and management of the Plan and related Cimpress equity strategy, as well as for global human resources, finance and/or reporting purposes. Besides the foregoing processing purposes of its legitimate interests, any transfer by Cimpress plc/Company to Cimpress USA Incorporated (and/or any other involved affiliated company in the Cimpress-group) or any employee with responsibilities relating to securities, compliance or legal may also be necessary in order to ensure Cimpress plc’s compliance with applicable legal obligations (including, without limitation, disclosures required to be made to courts or governmental authorities and agencies, with respect to tax requirements and in response to subpoenas and other legal process or orders).</w:t>
      </w:r>
    </w:p>
    <w:p>
      <w:pPr>
        <w:spacing w:after="0" w:line="183" w:lineRule="exact"/>
        <w:rPr>
          <w:rFonts w:ascii="Arial" w:cs="Arial" w:eastAsia="Arial" w:hAnsi="Arial"/>
          <w:sz w:val="18"/>
          <w:szCs w:val="18"/>
          <w:color w:val="auto"/>
        </w:rPr>
      </w:pPr>
    </w:p>
    <w:p>
      <w:pPr>
        <w:ind w:right="60" w:firstLine="656"/>
        <w:spacing w:after="0" w:line="313" w:lineRule="auto"/>
        <w:tabs>
          <w:tab w:leader="none" w:pos="11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Cimpress plc will ensure, in accordance with Article 46 of the Regulation 2016/679 of the European Parliament and of the Council on the protection of natural persons with regard to the processing of personal data and on the free movement of such data, and repealing Directive 95/46/EC (“</w:t>
      </w:r>
      <w:r>
        <w:rPr>
          <w:rFonts w:ascii="Arial" w:cs="Arial" w:eastAsia="Arial" w:hAnsi="Arial"/>
          <w:sz w:val="16"/>
          <w:szCs w:val="16"/>
          <w:b w:val="1"/>
          <w:bCs w:val="1"/>
          <w:i w:val="1"/>
          <w:iCs w:val="1"/>
          <w:color w:val="auto"/>
        </w:rPr>
        <w:t>GDPR</w:t>
      </w:r>
      <w:r>
        <w:rPr>
          <w:rFonts w:ascii="Arial" w:cs="Arial" w:eastAsia="Arial" w:hAnsi="Arial"/>
          <w:sz w:val="16"/>
          <w:szCs w:val="16"/>
          <w:color w:val="auto"/>
        </w:rPr>
        <w:t>”), that any transfer of personal data from Participants employed by an employer with a corporate seat in the European Economic Area (“</w:t>
      </w:r>
      <w:r>
        <w:rPr>
          <w:rFonts w:ascii="Arial" w:cs="Arial" w:eastAsia="Arial" w:hAnsi="Arial"/>
          <w:sz w:val="16"/>
          <w:szCs w:val="16"/>
          <w:b w:val="1"/>
          <w:bCs w:val="1"/>
          <w:i w:val="1"/>
          <w:iCs w:val="1"/>
          <w:color w:val="auto"/>
        </w:rPr>
        <w:t>EEA</w:t>
      </w:r>
      <w:r>
        <w:rPr>
          <w:rFonts w:ascii="Arial" w:cs="Arial" w:eastAsia="Arial" w:hAnsi="Arial"/>
          <w:sz w:val="16"/>
          <w:szCs w:val="16"/>
          <w:color w:val="auto"/>
        </w:rPr>
        <w:t>”) or Switzerland to data controllers or data processors – such as the Service Provider or Cimpress USA Incorporated – located outside the borders of the EEA or Switzerland in a country that is viewed as not having an adequate level of protection (e.g., the United States) is subject to a prior agreement of those recipients with the EU standard contractual clauses for the transfer of personal data as included in the Commission Decisions of 27 December 2004 (2004/915/EC) and 5 February 2010 (2010/87/EC).</w:t>
      </w:r>
    </w:p>
    <w:p>
      <w:pPr>
        <w:spacing w:after="0" w:line="156" w:lineRule="exact"/>
        <w:rPr>
          <w:rFonts w:ascii="Arial" w:cs="Arial" w:eastAsia="Arial" w:hAnsi="Arial"/>
          <w:sz w:val="16"/>
          <w:szCs w:val="16"/>
          <w:color w:val="auto"/>
        </w:rPr>
      </w:pPr>
    </w:p>
    <w:p>
      <w:pPr>
        <w:ind w:right="100" w:firstLine="656"/>
        <w:spacing w:after="0" w:line="342" w:lineRule="auto"/>
        <w:tabs>
          <w:tab w:leader="none" w:pos="1044" w:val="left"/>
        </w:tabs>
        <w:numPr>
          <w:ilvl w:val="0"/>
          <w:numId w:val="88"/>
        </w:numPr>
        <w:rPr>
          <w:rFonts w:ascii="Arial" w:cs="Arial" w:eastAsia="Arial" w:hAnsi="Arial"/>
          <w:sz w:val="16"/>
          <w:szCs w:val="16"/>
          <w:color w:val="auto"/>
        </w:rPr>
      </w:pPr>
      <w:r>
        <w:rPr>
          <w:rFonts w:ascii="Arial" w:cs="Arial" w:eastAsia="Arial" w:hAnsi="Arial"/>
          <w:sz w:val="16"/>
          <w:szCs w:val="16"/>
          <w:color w:val="auto"/>
        </w:rPr>
        <w:t>Cimpress plc will ensure in accordance with Article 9 of the GDPR that any sensitive data of the Participant (e.g., a passport or social security number) employed by an employer with a corporate seat in the EEA or Switzerland will only be collected and further processed in accordance with the purposes as set out in this Agreement and the Plan, after obtaining the Participant´s prior explicit consent.</w:t>
      </w:r>
    </w:p>
    <w:p>
      <w:pPr>
        <w:spacing w:after="0" w:line="131" w:lineRule="exact"/>
        <w:rPr>
          <w:rFonts w:ascii="Arial" w:cs="Arial" w:eastAsia="Arial" w:hAnsi="Arial"/>
          <w:sz w:val="16"/>
          <w:szCs w:val="16"/>
          <w:color w:val="auto"/>
        </w:rPr>
      </w:pPr>
    </w:p>
    <w:p>
      <w:pPr>
        <w:jc w:val="both"/>
        <w:ind w:right="40" w:firstLine="656"/>
        <w:spacing w:after="0" w:line="243" w:lineRule="auto"/>
        <w:tabs>
          <w:tab w:leader="none" w:pos="1073"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Participant may, when entitled thereto under the GDPR, exercise his or her data subject rights by requesting the Company for access to his or her personal data (including a copy of the personal data that Company holds about the Participant) or exercise his or her right to rectification, erasure, restriction, data portability and objection. The Participant can exercise most of the foregoing data subject rights himself or herself by using the related functionalities in his or her local human resources system or by accessing his or her brokerage account with the Service Provider. Alternatively, the Participant can submit such a ´data subject right´ request to his or her local HR representative or Cimpress´ LTI Plan Administrator.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339" w:right="359" w:bottom="1440" w:gutter="0" w:footer="0" w:header="0"/>
        </w:sectPr>
      </w:pPr>
    </w:p>
    <w:bookmarkStart w:id="127" w:name="page128"/>
    <w:bookmarkEnd w:id="127"/>
    <w:p>
      <w:pPr>
        <w:ind w:left="452" w:hanging="452"/>
        <w:spacing w:after="0"/>
        <w:tabs>
          <w:tab w:leader="none" w:pos="452"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Change in Control Events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8" w:right="160" w:firstLine="656"/>
        <w:spacing w:after="0" w:line="243" w:lineRule="auto"/>
        <w:tabs>
          <w:tab w:leader="none" w:pos="1057" w:val="left"/>
        </w:tabs>
        <w:numPr>
          <w:ilvl w:val="1"/>
          <w:numId w:val="89"/>
        </w:numPr>
        <w:rPr>
          <w:rFonts w:ascii="Arial" w:cs="Arial" w:eastAsia="Arial" w:hAnsi="Arial"/>
          <w:sz w:val="20"/>
          <w:szCs w:val="20"/>
          <w:color w:val="auto"/>
        </w:rPr>
      </w:pPr>
      <w:r>
        <w:rPr>
          <w:rFonts w:ascii="Arial" w:cs="Arial" w:eastAsia="Arial" w:hAnsi="Arial"/>
          <w:sz w:val="20"/>
          <w:szCs w:val="20"/>
          <w:color w:val="auto"/>
        </w:rPr>
        <w:t>Upon the occurrence of a Change in Control Event (as defined below), regardless of whether such event also constitutes a Reorganization Event (as defined in the Plan), except to the extent specifically otherwise provided in another agreement between the Company and the Participant, one-half of the number of then unvested Units become vested if, on or before the first anniversary of the date of the consummation of the Change in Control Event, the Participant’s employment with the Company or the acquiring or succeeding corporation is terminated for Good Reason (as defined below) by the Participant or is terminated without Cause (as defined below) by the Company or the acquiring or succeeding corporation.</w:t>
      </w:r>
    </w:p>
    <w:p>
      <w:pPr>
        <w:spacing w:after="0" w:line="209" w:lineRule="exact"/>
        <w:rPr>
          <w:rFonts w:ascii="Arial" w:cs="Arial" w:eastAsia="Arial" w:hAnsi="Arial"/>
          <w:sz w:val="20"/>
          <w:szCs w:val="20"/>
          <w:color w:val="auto"/>
        </w:rPr>
      </w:pPr>
    </w:p>
    <w:p>
      <w:pPr>
        <w:ind w:left="1072" w:hanging="424"/>
        <w:spacing w:after="0"/>
        <w:tabs>
          <w:tab w:leader="none" w:pos="1072" w:val="left"/>
        </w:tabs>
        <w:numPr>
          <w:ilvl w:val="1"/>
          <w:numId w:val="89"/>
        </w:numPr>
        <w:rPr>
          <w:rFonts w:ascii="Arial" w:cs="Arial" w:eastAsia="Arial" w:hAnsi="Arial"/>
          <w:sz w:val="20"/>
          <w:szCs w:val="20"/>
          <w:color w:val="auto"/>
        </w:rPr>
      </w:pPr>
      <w:r>
        <w:rPr>
          <w:rFonts w:ascii="Arial" w:cs="Arial" w:eastAsia="Arial" w:hAnsi="Arial"/>
          <w:sz w:val="20"/>
          <w:szCs w:val="20"/>
          <w:color w:val="auto"/>
        </w:rPr>
        <w:t>For purposes of this Agreement, “Change in Control Event” means:</w:t>
      </w:r>
    </w:p>
    <w:p>
      <w:pPr>
        <w:spacing w:after="0" w:line="229" w:lineRule="exact"/>
        <w:rPr>
          <w:rFonts w:ascii="Arial" w:cs="Arial" w:eastAsia="Arial" w:hAnsi="Arial"/>
          <w:sz w:val="20"/>
          <w:szCs w:val="20"/>
          <w:color w:val="auto"/>
        </w:rPr>
      </w:pPr>
    </w:p>
    <w:p>
      <w:pPr>
        <w:ind w:left="1292" w:firstLine="4"/>
        <w:spacing w:after="0" w:line="254" w:lineRule="auto"/>
        <w:tabs>
          <w:tab w:leader="none" w:pos="1677" w:val="left"/>
        </w:tabs>
        <w:numPr>
          <w:ilvl w:val="2"/>
          <w:numId w:val="89"/>
        </w:numPr>
        <w:rPr>
          <w:rFonts w:ascii="Arial" w:cs="Arial" w:eastAsia="Arial" w:hAnsi="Arial"/>
          <w:sz w:val="19"/>
          <w:szCs w:val="19"/>
          <w:color w:val="auto"/>
        </w:rPr>
      </w:pPr>
      <w:r>
        <w:rPr>
          <w:rFonts w:ascii="Arial" w:cs="Arial" w:eastAsia="Arial" w:hAnsi="Arial"/>
          <w:sz w:val="19"/>
          <w:szCs w:val="19"/>
          <w:color w:val="auto"/>
        </w:rPr>
        <w:t>the acquisition by an individual, entity or group (within the meaning of Section 13(d)(3) or 14(d)(2) of the United States Securities Exchange Act of 1934) (a “Person”) of beneficial ownership of any capital shares or equity of the Company if, after such acquisition, such Person beneficially owns (within the meaning of Rule 13d-3 promulgated under such Securities Exchange Act) 50% or more of either (x) the then-outstanding ordinary shares of the Company (the “Outstanding Company Ordinary Shares”) or (y) the combined voting power of the then-outstanding securities of the Company entitled to vote generally in the election of the members of the Supervisory Board (the “Outstanding Company Voting Securities”), except that for purposes of this subsection (i), the following acquisitions do not constitute a Change in Control Event: (A) any acquisition directly from the Company (excluding an acquisition pursuant to the exercise, conversion or exchange of any security exercisable for, convertible into or exchangeable for ordinary shares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that complies with clauses (x) and (y) of subsection (ii) of this definition; or</w:t>
      </w:r>
    </w:p>
    <w:p>
      <w:pPr>
        <w:spacing w:after="0" w:line="205" w:lineRule="exact"/>
        <w:rPr>
          <w:rFonts w:ascii="Arial" w:cs="Arial" w:eastAsia="Arial" w:hAnsi="Arial"/>
          <w:sz w:val="19"/>
          <w:szCs w:val="19"/>
          <w:color w:val="auto"/>
        </w:rPr>
      </w:pPr>
    </w:p>
    <w:p>
      <w:pPr>
        <w:ind w:left="1292" w:right="20" w:firstLine="4"/>
        <w:spacing w:after="0" w:line="270" w:lineRule="auto"/>
        <w:tabs>
          <w:tab w:leader="none" w:pos="1732" w:val="left"/>
        </w:tabs>
        <w:numPr>
          <w:ilvl w:val="2"/>
          <w:numId w:val="89"/>
        </w:numPr>
        <w:rPr>
          <w:rFonts w:ascii="Arial" w:cs="Arial" w:eastAsia="Arial" w:hAnsi="Arial"/>
          <w:sz w:val="18"/>
          <w:szCs w:val="18"/>
          <w:color w:val="auto"/>
        </w:rPr>
      </w:pPr>
      <w:r>
        <w:rPr>
          <w:rFonts w:ascii="Arial" w:cs="Arial" w:eastAsia="Arial" w:hAnsi="Arial"/>
          <w:sz w:val="18"/>
          <w:szCs w:val="18"/>
          <w:color w:val="auto"/>
        </w:rPr>
        <w:t>the consummation of a merger, consolidation, reorganization, recapitalization or share exchange involving the Company or a sale or other disposition of all or substantially all of the assets of the Company (a “Business Combination”), unless, immediately after such Business Combination, each of the following two conditions is satisfied: (x) all or substantially all of the individuals and entities who were the beneficial owners of the Outstanding Company Ordinary Shares and Outstanding Company Voting Securities immediately before such Business Combination beneficially own, directly or indirectly, more than 50% of the then-outstanding ordinary shares and the combined voting power of the then-outstanding securities entitled to vote generally in the election of the members of the Supervisory Board or the members of the Board of Directors, as the case may be, of the resulting or acquiring corporation in such Business Combination (which includes, without limitation, a corporation that as a result of such transaction owns the Company or substantially all of the Company’s assets either directly or through one or more subsidiaries) (such resulting or acquiring corporation is referred to as the “Acquiring Corporation”) in substantially the same proportions as their ownership of the Outstanding Company Ordinary Shares and Outstanding Company Voting Securities immediately before such Business Combination and (y) no Person (excluding the Acquiring Corporation or any employee benefit plan or related trust maintained or</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92"/>
          </w:cols>
          <w:pgMar w:left="328" w:top="339" w:right="379" w:bottom="1440" w:gutter="0" w:footer="0" w:header="0"/>
        </w:sectPr>
      </w:pPr>
    </w:p>
    <w:bookmarkStart w:id="128" w:name="page129"/>
    <w:bookmarkEnd w:id="128"/>
    <w:p>
      <w:pPr>
        <w:ind w:left="1300" w:right="40"/>
        <w:spacing w:after="0" w:line="244" w:lineRule="auto"/>
        <w:rPr>
          <w:sz w:val="20"/>
          <w:szCs w:val="20"/>
          <w:color w:val="auto"/>
        </w:rPr>
      </w:pPr>
      <w:r>
        <w:rPr>
          <w:rFonts w:ascii="Arial" w:cs="Arial" w:eastAsia="Arial" w:hAnsi="Arial"/>
          <w:sz w:val="20"/>
          <w:szCs w:val="20"/>
          <w:color w:val="auto"/>
        </w:rPr>
        <w:t>sponsored by the Company or by the Acquiring Corporation) beneficially owns, directly or indirectly, 30% or more of the then-outstanding ordinary shares of the Acquiring Corporation, or of the combined voting power of the then-outstanding securities of such corporation entitled to vote generally in the election of the members of the Supervisory Board or the members of the Board of Directors, as the case may be, (except to the extent that such ownership existed before the Business Combination).</w:t>
      </w:r>
    </w:p>
    <w:p>
      <w:pPr>
        <w:spacing w:after="0" w:line="208" w:lineRule="exact"/>
        <w:rPr>
          <w:sz w:val="20"/>
          <w:szCs w:val="20"/>
          <w:color w:val="auto"/>
        </w:rPr>
      </w:pPr>
    </w:p>
    <w:p>
      <w:pPr>
        <w:jc w:val="both"/>
        <w:ind w:firstLine="656"/>
        <w:spacing w:after="0" w:line="282" w:lineRule="auto"/>
        <w:tabs>
          <w:tab w:leader="none" w:pos="1065"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purposes of this Agreement, “Cause” means any (i) willful failure by the Participant to perform his material responsibilities to the Company, which failure is not cured within 30 days of written notice to the Participant from the Company, or (ii) willful misconduct by the Participant that affects the business reputation of the Company. The Participant is considered to have been discharged for “Cause” if the Company determines, within 30 days after the Participant’s termination, that discharge for Cause was warranted.</w:t>
      </w:r>
    </w:p>
    <w:p>
      <w:pPr>
        <w:spacing w:after="0" w:line="174" w:lineRule="exact"/>
        <w:rPr>
          <w:rFonts w:ascii="Arial" w:cs="Arial" w:eastAsia="Arial" w:hAnsi="Arial"/>
          <w:sz w:val="18"/>
          <w:szCs w:val="18"/>
          <w:color w:val="auto"/>
        </w:rPr>
      </w:pPr>
    </w:p>
    <w:p>
      <w:pPr>
        <w:ind w:right="80" w:firstLine="656"/>
        <w:spacing w:after="0" w:line="269" w:lineRule="auto"/>
        <w:tabs>
          <w:tab w:leader="none" w:pos="1077"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purposes of this Agreement, “Good Reason” means (A) any significant diminution in the Participant’s duties, authority or responsibilities from and after the Change in Control Event, (B) any material reduction in base compensation payable to the Participant from and after the Change in Control Event, or (C) the relocation of the place of business at which the Participant is principally located to a location that is greater than 50 miles from the current site without the Participant’s consent. However, no such event or condition constitutes Good Reason unless (x) the Participant gives the Company a written notice of termination for Good Reason not more than 90 days after the initial existence of the condition, (y) the grounds for termination (if susceptible to correction) are not corrected by the Company within</w:t>
      </w:r>
    </w:p>
    <w:p>
      <w:pPr>
        <w:spacing w:after="0" w:line="1" w:lineRule="exact"/>
        <w:rPr>
          <w:rFonts w:ascii="Arial" w:cs="Arial" w:eastAsia="Arial" w:hAnsi="Arial"/>
          <w:sz w:val="18"/>
          <w:szCs w:val="18"/>
          <w:color w:val="auto"/>
        </w:rPr>
      </w:pPr>
    </w:p>
    <w:p>
      <w:pPr>
        <w:ind w:right="60" w:firstLine="8"/>
        <w:spacing w:after="0" w:line="244" w:lineRule="auto"/>
        <w:tabs>
          <w:tab w:leader="none" w:pos="247" w:val="left"/>
        </w:tabs>
        <w:numPr>
          <w:ilvl w:val="0"/>
          <w:numId w:val="91"/>
        </w:numPr>
        <w:rPr>
          <w:rFonts w:ascii="Arial" w:cs="Arial" w:eastAsia="Arial" w:hAnsi="Arial"/>
          <w:sz w:val="20"/>
          <w:szCs w:val="20"/>
          <w:color w:val="auto"/>
        </w:rPr>
      </w:pPr>
      <w:r>
        <w:rPr>
          <w:rFonts w:ascii="Arial" w:cs="Arial" w:eastAsia="Arial" w:hAnsi="Arial"/>
          <w:sz w:val="20"/>
          <w:szCs w:val="20"/>
          <w:color w:val="auto"/>
        </w:rPr>
        <w:t>days of its receipt of such notice and (z) Participant’s termination of employment occurs within six months after the Company’s receipt of such notice.</w:t>
      </w:r>
    </w:p>
    <w:p>
      <w:pPr>
        <w:spacing w:after="0" w:line="204" w:lineRule="exact"/>
        <w:rPr>
          <w:rFonts w:ascii="Arial" w:cs="Arial" w:eastAsia="Arial" w:hAnsi="Arial"/>
          <w:sz w:val="20"/>
          <w:szCs w:val="20"/>
          <w:color w:val="auto"/>
        </w:rPr>
      </w:pPr>
    </w:p>
    <w:p>
      <w:pPr>
        <w:ind w:left="460" w:hanging="452"/>
        <w:spacing w:after="0"/>
        <w:tabs>
          <w:tab w:leader="none" w:pos="46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656"/>
        <w:spacing w:after="0" w:line="259" w:lineRule="auto"/>
        <w:tabs>
          <w:tab w:leader="none" w:pos="1062"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This award is intended to comply with or be exempt from the requirements of Section 409A and shall be construed consistently therewith. Subject to Sections 10(f) and 11(d) of the Plan, the Company reserves the right, to the extent the Company deems necessary or advisable in its sole discretion, to unilaterally amend the Plan or this Agreement to prevent this award from becoming subject to the requirements of Section 409A. However, the Company makes no representations or warranties and has no liability to the Participant or to any other person if any of the provisions of or payments under this award are determined to constitute nonqualified deferred compensation subject to Section 409A but do not satisfy the requirements of Section 409A.</w:t>
      </w:r>
    </w:p>
    <w:p>
      <w:pPr>
        <w:spacing w:after="0" w:line="191" w:lineRule="exact"/>
        <w:rPr>
          <w:rFonts w:ascii="Arial" w:cs="Arial" w:eastAsia="Arial" w:hAnsi="Arial"/>
          <w:sz w:val="19"/>
          <w:szCs w:val="19"/>
          <w:color w:val="auto"/>
        </w:rPr>
      </w:pPr>
    </w:p>
    <w:p>
      <w:pPr>
        <w:ind w:firstLine="656"/>
        <w:spacing w:after="0" w:line="268" w:lineRule="auto"/>
        <w:tabs>
          <w:tab w:leader="none" w:pos="1077"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the Units are considered to be “nonqualified deferred compensation” within the meaning of Section 409A, and the Participant is considered a “specified employee” within the meaning of Section 409A, then notwithstanding anything to the contrary in this Agreement, the Company shall not deliver to the Participant any Shares required to be delivered upon vesting of Units that occurs upon a termination of employment until the earlier of (i) the six-month and one-day anniversary of the Participant’s termination of employment and (ii) the Participant’s death. In addition, solely to the extent that the Units are considered to be “nonqualified deferred compensation” and solely to the extent that another agreement between the Participant and the Company provides for vesting of the Units and delivery of the Shares upon a “change in control,” such event must constitute a “change in control event” within the meaning of Treasury Regulation Section 1.409A-3(i)</w:t>
      </w:r>
    </w:p>
    <w:p>
      <w:pPr>
        <w:spacing w:after="0" w:line="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(5)(i) in order for the Shares to be delivered.</w:t>
      </w:r>
    </w:p>
    <w:p>
      <w:pPr>
        <w:spacing w:after="0" w:line="213" w:lineRule="exact"/>
        <w:rPr>
          <w:rFonts w:ascii="Arial" w:cs="Arial" w:eastAsia="Arial" w:hAnsi="Arial"/>
          <w:sz w:val="18"/>
          <w:szCs w:val="18"/>
          <w:color w:val="auto"/>
        </w:rPr>
      </w:pPr>
    </w:p>
    <w:p>
      <w:pPr>
        <w:ind w:right="140" w:firstLine="656"/>
        <w:spacing w:after="0" w:line="250" w:lineRule="auto"/>
        <w:tabs>
          <w:tab w:leader="none" w:pos="1065" w:val="left"/>
        </w:tabs>
        <w:numPr>
          <w:ilvl w:val="1"/>
          <w:numId w:val="92"/>
        </w:numPr>
        <w:rPr>
          <w:rFonts w:ascii="Arial" w:cs="Arial" w:eastAsia="Arial" w:hAnsi="Arial"/>
          <w:sz w:val="20"/>
          <w:szCs w:val="20"/>
          <w:color w:val="auto"/>
        </w:rPr>
      </w:pPr>
      <w:r>
        <w:rPr>
          <w:rFonts w:ascii="Arial" w:cs="Arial" w:eastAsia="Arial" w:hAnsi="Arial"/>
          <w:sz w:val="20"/>
          <w:szCs w:val="20"/>
          <w:color w:val="auto"/>
        </w:rPr>
        <w:t>For purposes of Sections 12(a) and 13(b) of this Agreement, “termination of employment” and similar terms mean “separation from service” within the meaning of Section 409A. The determination of whether and when Participant’s separation from service from the Company has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339" w:right="359" w:bottom="1440" w:gutter="0" w:footer="0" w:header="0"/>
        </w:sectPr>
      </w:pPr>
    </w:p>
    <w:bookmarkStart w:id="129" w:name="page130"/>
    <w:bookmarkEnd w:id="129"/>
    <w:p>
      <w:pPr>
        <w:ind w:right="60"/>
        <w:spacing w:after="0" w:line="250" w:lineRule="auto"/>
        <w:rPr>
          <w:sz w:val="20"/>
          <w:szCs w:val="20"/>
          <w:color w:val="auto"/>
        </w:rPr>
      </w:pPr>
      <w:r>
        <w:rPr>
          <w:rFonts w:ascii="Arial" w:cs="Arial" w:eastAsia="Arial" w:hAnsi="Arial"/>
          <w:sz w:val="20"/>
          <w:szCs w:val="20"/>
          <w:color w:val="auto"/>
        </w:rPr>
        <w:t>occurred shall be made in a manner consistent with, and based on the presumptions set forth in, Treasury Regulation Section 1.409A-1(h). Solely for purposes of this Section 13(c), “Company” includes all persons with whom the Company would be considered a single employer under Section 414(b) and 414(c) of the Code.</w:t>
      </w:r>
    </w:p>
    <w:p>
      <w:pPr>
        <w:spacing w:after="0" w:line="199" w:lineRule="exact"/>
        <w:rPr>
          <w:sz w:val="20"/>
          <w:szCs w:val="20"/>
          <w:color w:val="auto"/>
        </w:rPr>
      </w:pPr>
    </w:p>
    <w:p>
      <w:pPr>
        <w:ind w:right="260" w:firstLine="8"/>
        <w:spacing w:after="0" w:line="260" w:lineRule="auto"/>
        <w:tabs>
          <w:tab w:leader="none" w:pos="445"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Participant receives this Agreement or any other document related to the Plan translated into a language other than English, the English version controls.</w:t>
      </w:r>
    </w:p>
    <w:p>
      <w:pPr>
        <w:spacing w:after="0" w:line="176" w:lineRule="exact"/>
        <w:rPr>
          <w:rFonts w:ascii="Arial" w:cs="Arial" w:eastAsia="Arial" w:hAnsi="Arial"/>
          <w:sz w:val="20"/>
          <w:szCs w:val="20"/>
          <w:color w:val="auto"/>
        </w:rPr>
      </w:pPr>
    </w:p>
    <w:p>
      <w:pPr>
        <w:jc w:val="both"/>
        <w:ind w:right="260" w:firstLine="8"/>
        <w:spacing w:after="0" w:line="291" w:lineRule="auto"/>
        <w:tabs>
          <w:tab w:leader="none" w:pos="44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deliver any documents related to current or future participation in the Plan by electronic means. The Participant consents to receive such documents by electronic delivery and agrees to participate in the Plan through an on-line or electronic system established and maintained by the Company or a third party designated by the Company.</w:t>
      </w:r>
    </w:p>
    <w:p>
      <w:pPr>
        <w:spacing w:after="0" w:line="151" w:lineRule="exact"/>
        <w:rPr>
          <w:rFonts w:ascii="Arial" w:cs="Arial" w:eastAsia="Arial" w:hAnsi="Arial"/>
          <w:sz w:val="18"/>
          <w:szCs w:val="18"/>
          <w:color w:val="auto"/>
        </w:rPr>
      </w:pPr>
    </w:p>
    <w:p>
      <w:pPr>
        <w:ind w:firstLine="8"/>
        <w:spacing w:after="0" w:line="243" w:lineRule="auto"/>
        <w:tabs>
          <w:tab w:leader="none" w:pos="445"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Addendum</w:t>
      </w:r>
      <w:r>
        <w:rPr>
          <w:rFonts w:ascii="Arial" w:cs="Arial" w:eastAsia="Arial" w:hAnsi="Arial"/>
          <w:sz w:val="20"/>
          <w:szCs w:val="20"/>
          <w:color w:val="auto"/>
        </w:rPr>
        <w:t>. The Units and the Shares acquired under the Plan are subject to any country-specific terms and conditions set forth in any addendum to this Agreement or the Plan, and in the event of a conflict between this Agreement and any such addendum, the addendum governs. If the Participant relocates his or her residence to one of the countries included in any such addendum, the terms and conditions of such applicable addendum apply to the Participant to the extent the Company determines that the application of such terms and conditions is necessary or advisable in order to comply with local law or facilitate the administration of the Plan. Each such addendum, if any, constitutes part of this Agreement.</w:t>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20"/>
          </w:cols>
          <w:pgMar w:left="320" w:top="339" w:right="459" w:bottom="1440" w:gutter="0" w:footer="0" w:header="0"/>
        </w:sectPr>
      </w:pPr>
    </w:p>
    <w:bookmarkStart w:id="130" w:name="page131"/>
    <w:bookmarkEnd w:id="130"/>
    <w:p>
      <w:pPr>
        <w:jc w:val="center"/>
        <w:ind w:right="-459"/>
        <w:spacing w:after="0"/>
        <w:rPr>
          <w:sz w:val="20"/>
          <w:szCs w:val="20"/>
          <w:color w:val="auto"/>
        </w:rPr>
      </w:pPr>
      <w:r>
        <w:rPr>
          <w:rFonts w:ascii="Arial" w:cs="Arial" w:eastAsia="Arial" w:hAnsi="Arial"/>
          <w:sz w:val="20"/>
          <w:szCs w:val="20"/>
          <w:color w:val="auto"/>
        </w:rPr>
        <w:t>PARTICIPANT’S ACCEPTANCE</w:t>
      </w:r>
    </w:p>
    <w:p>
      <w:pPr>
        <w:spacing w:after="0" w:line="16"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By signing or electronically accepting this Agreement, the Participant agrees to the terms and conditions hereof. The Participant hereby acknowledges receipt of a copy of the Cimpress plc 2011 Equity Incentive Plan.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800"/>
          </w:cols>
          <w:pgMar w:left="320" w:top="568" w:right="7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p>
        </w:tc>
        <w:tc>
          <w:tcPr>
            <w:tcW w:w="726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SUBSIDIARIES OF CIMPRESS PLC</w:t>
            </w:r>
          </w:p>
        </w:tc>
      </w:tr>
      <w:tr>
        <w:trPr>
          <w:trHeight w:val="344"/>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Subsidiary</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Jurisdiction of Incorporation</w:t>
            </w:r>
          </w:p>
        </w:tc>
      </w:tr>
      <w:tr>
        <w:trPr>
          <w:trHeight w:val="39"/>
        </w:trPr>
        <w:tc>
          <w:tcPr>
            <w:tcW w:w="38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r>
      <w:tr>
        <w:trPr>
          <w:trHeight w:val="393"/>
        </w:trPr>
        <w:tc>
          <w:tcPr>
            <w:tcW w:w="3840" w:type="dxa"/>
            <w:vAlign w:val="bottom"/>
          </w:tcPr>
          <w:p>
            <w:pPr>
              <w:ind w:left="200"/>
              <w:spacing w:after="0"/>
              <w:rPr>
                <w:sz w:val="20"/>
                <w:szCs w:val="20"/>
                <w:color w:val="auto"/>
              </w:rPr>
            </w:pPr>
            <w:r>
              <w:rPr>
                <w:rFonts w:ascii="Arial" w:cs="Arial" w:eastAsia="Arial" w:hAnsi="Arial"/>
                <w:sz w:val="16"/>
                <w:szCs w:val="16"/>
                <w:color w:val="auto"/>
              </w:rPr>
              <w:t>Araprint B.V.</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Build A Sign LLC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Australia Pty Limited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Australia</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Detroit Incorporated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Cimpress Deutschland GmbH</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Germany</w:t>
            </w:r>
          </w:p>
        </w:tc>
      </w:tr>
      <w:tr>
        <w:trPr>
          <w:trHeight w:val="398"/>
        </w:trPr>
        <w:tc>
          <w:tcPr>
            <w:tcW w:w="3840" w:type="dxa"/>
            <w:vAlign w:val="bottom"/>
          </w:tcPr>
          <w:p>
            <w:pPr>
              <w:ind w:left="200"/>
              <w:spacing w:after="0"/>
              <w:rPr>
                <w:sz w:val="20"/>
                <w:szCs w:val="20"/>
                <w:color w:val="auto"/>
              </w:rPr>
            </w:pPr>
            <w:r>
              <w:rPr>
                <w:rFonts w:ascii="Arial" w:cs="Arial" w:eastAsia="Arial" w:hAnsi="Arial"/>
                <w:sz w:val="16"/>
                <w:szCs w:val="16"/>
                <w:color w:val="auto"/>
              </w:rPr>
              <w:t>Cimpress Espa</w:t>
            </w:r>
            <w:r>
              <w:rPr>
                <w:rFonts w:ascii="Arial" w:cs="Arial" w:eastAsia="Arial" w:hAnsi="Arial"/>
                <w:sz w:val="17"/>
                <w:szCs w:val="17"/>
                <w:color w:val="auto"/>
              </w:rPr>
              <w:t>ñ</w:t>
            </w:r>
            <w:r>
              <w:rPr>
                <w:rFonts w:ascii="Arial" w:cs="Arial" w:eastAsia="Arial" w:hAnsi="Arial"/>
                <w:sz w:val="16"/>
                <w:szCs w:val="16"/>
                <w:color w:val="auto"/>
              </w:rPr>
              <w:t>a, S.L.</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Spain</w:t>
            </w:r>
          </w:p>
        </w:tc>
      </w:tr>
      <w:tr>
        <w:trPr>
          <w:trHeight w:val="386"/>
        </w:trPr>
        <w:tc>
          <w:tcPr>
            <w:tcW w:w="3840" w:type="dxa"/>
            <w:vAlign w:val="bottom"/>
          </w:tcPr>
          <w:p>
            <w:pPr>
              <w:ind w:left="200"/>
              <w:spacing w:after="0"/>
              <w:rPr>
                <w:sz w:val="20"/>
                <w:szCs w:val="20"/>
                <w:color w:val="auto"/>
              </w:rPr>
            </w:pPr>
            <w:r>
              <w:rPr>
                <w:rFonts w:ascii="Arial" w:cs="Arial" w:eastAsia="Arial" w:hAnsi="Arial"/>
                <w:sz w:val="16"/>
                <w:szCs w:val="16"/>
                <w:color w:val="auto"/>
              </w:rPr>
              <w:t>Cimpress France SARL</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India Private Limited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India</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Cimpress Investments B.V.</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Ireland Limited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Ireland</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Italy S.r.l.</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Italy</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Jamaica Limited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Jamaica</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Cimpress Japan Co., Ltd.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Japan</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Philippines Incorporated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Philippines</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Cimpress Schweiz GmbH</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Switzerland</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Security Israel Ltd.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Israel</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Cimpress Technologies Private Limited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India</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Technology Czech Republic s.r.o.</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Czechia</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Cimpress Tunisie SARL</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Tunisia</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UK Limited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England and Wales</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Cimpress USA Incorporated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Cimpress USA Manufacturing Incorporated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Cimpress Windsor Corporation</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Nova Scotia, Canada</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Del Camino SCI</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Druck.at Druck- und Handelsgesellschaft GmbH</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Austria</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Drukwerkdeal.nl B.V.</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Drukwerkdeal.nl Productie B.V.</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The Netherlands</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E-Factory SAS</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Exaprint SAS</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FL Print SAS</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FM Impressos Personalizados Ltda</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Brazil</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La Mougère SCI</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France</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Litotipografia Alcione S.r.l.</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Italy</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National Pen Co. LLC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National Pen Promotional Products Limited</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Ireland</w:t>
            </w:r>
          </w:p>
        </w:tc>
      </w:tr>
      <w:tr>
        <w:trPr>
          <w:trHeight w:val="392"/>
        </w:trPr>
        <w:tc>
          <w:tcPr>
            <w:tcW w:w="3840" w:type="dxa"/>
            <w:vAlign w:val="bottom"/>
          </w:tcPr>
          <w:p>
            <w:pPr>
              <w:ind w:left="200"/>
              <w:spacing w:after="0"/>
              <w:rPr>
                <w:sz w:val="20"/>
                <w:szCs w:val="20"/>
                <w:color w:val="auto"/>
              </w:rPr>
            </w:pPr>
            <w:r>
              <w:rPr>
                <w:rFonts w:ascii="Arial" w:cs="Arial" w:eastAsia="Arial" w:hAnsi="Arial"/>
                <w:sz w:val="16"/>
                <w:szCs w:val="16"/>
                <w:color w:val="auto"/>
              </w:rPr>
              <w:t>National Pen Tennessee LLC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Delaware, USA</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National Pen Tunisia SARL</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Tunisia</w:t>
            </w:r>
          </w:p>
        </w:tc>
      </w:tr>
      <w:tr>
        <w:trPr>
          <w:trHeight w:val="391"/>
        </w:trPr>
        <w:tc>
          <w:tcPr>
            <w:tcW w:w="3840" w:type="dxa"/>
            <w:vAlign w:val="bottom"/>
          </w:tcPr>
          <w:p>
            <w:pPr>
              <w:ind w:left="200"/>
              <w:spacing w:after="0"/>
              <w:rPr>
                <w:sz w:val="20"/>
                <w:szCs w:val="20"/>
                <w:color w:val="auto"/>
              </w:rPr>
            </w:pPr>
            <w:r>
              <w:rPr>
                <w:rFonts w:ascii="Arial" w:cs="Arial" w:eastAsia="Arial" w:hAnsi="Arial"/>
                <w:sz w:val="16"/>
                <w:szCs w:val="16"/>
                <w:color w:val="auto"/>
              </w:rPr>
              <w:t>NP Corporate Services LLC</w:t>
            </w:r>
          </w:p>
        </w:tc>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Delaware, USA</w:t>
            </w:r>
          </w:p>
        </w:tc>
      </w:tr>
    </w:tbl>
    <w:p>
      <w:pPr>
        <w:sectPr>
          <w:pgSz w:w="11900" w:h="16838" w:orient="portrait"/>
          <w:cols w:equalWidth="0" w:num="1">
            <w:col w:w="11160"/>
          </w:cols>
          <w:pgMar w:left="400" w:top="549" w:right="339" w:bottom="0"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Pixartprinting S.p.A.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Printdeal B.V.</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Printi LLC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Shanghai Cimpress Technology Company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Tradeprint Distribution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B.V.</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Corporate Solutions Incorporated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Manufacturing Texas LLC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Vistaprint Netherlands B.V.</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Webs,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WIRmachenDRUCK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Italy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England and Wales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6800" w:space="720"/>
            <w:col w:w="2339"/>
          </w:cols>
          <w:pgMar w:left="600" w:top="749" w:right="1440" w:bottom="1440" w:gutter="0" w:footer="0" w:header="0"/>
        </w:sectPr>
      </w:pPr>
    </w:p>
    <w:bookmarkStart w:id="134" w:name="page135"/>
    <w:bookmarkEnd w:id="134"/>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333-129912; 333-133797; 333-147753; 333-176421; and 333-211743) of Cimpress plc of our report dated August 11, 2020 relating to the financial statements and the effectiveness of internal control over financial reporting, which appears in this Form 10-K.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11, 2020</w:t>
      </w:r>
    </w:p>
    <w:p>
      <w:pPr>
        <w:sectPr>
          <w:pgSz w:w="11900" w:h="16838" w:orient="portrait"/>
          <w:cols w:equalWidth="0" w:num="1">
            <w:col w:w="10760"/>
          </w:cols>
          <w:pgMar w:left="320" w:top="981" w:right="8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plc;</w:t>
      </w:r>
    </w:p>
    <w:p>
      <w:pPr>
        <w:spacing w:after="0" w:line="144" w:lineRule="exact"/>
        <w:rPr>
          <w:rFonts w:ascii="Arial" w:cs="Arial" w:eastAsia="Arial" w:hAnsi="Arial"/>
          <w:sz w:val="18"/>
          <w:szCs w:val="18"/>
          <w:color w:val="auto"/>
        </w:rPr>
      </w:pPr>
    </w:p>
    <w:p>
      <w:pPr>
        <w:ind w:left="580" w:right="20" w:hanging="410"/>
        <w:spacing w:after="0" w:line="256"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200" w:hanging="410"/>
        <w:spacing w:after="0" w:line="256"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8"/>
          <w:szCs w:val="18"/>
          <w:color w:val="auto"/>
        </w:rPr>
      </w:pPr>
    </w:p>
    <w:p>
      <w:pPr>
        <w:ind w:left="580" w:right="200" w:hanging="410"/>
        <w:spacing w:after="0" w:line="256"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14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1" w:lineRule="exact"/>
        <w:rPr>
          <w:sz w:val="20"/>
          <w:szCs w:val="20"/>
          <w:color w:val="auto"/>
        </w:rPr>
      </w:pPr>
    </w:p>
    <w:p>
      <w:pPr>
        <w:ind w:left="580" w:right="22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160" w:hanging="248"/>
        <w:spacing w:after="0" w:line="256"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4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420" w:hanging="410"/>
        <w:spacing w:after="0" w:line="256"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340" w:hanging="242"/>
        <w:spacing w:after="0" w:line="261"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sz w:val="20"/>
          <w:szCs w:val="20"/>
          <w:color w:val="auto"/>
        </w:rPr>
      </w:pPr>
    </w:p>
    <w:p>
      <w:pPr>
        <w:ind w:left="580" w:right="580" w:hanging="242"/>
        <w:spacing w:after="0" w:line="261"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03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1" w:lineRule="exact"/>
        <w:rPr>
          <w:sz w:val="20"/>
          <w:szCs w:val="20"/>
          <w:color w:val="auto"/>
        </w:rPr>
      </w:pPr>
    </w:p>
    <w:p>
      <w:pPr>
        <w:jc w:val="center"/>
        <w:ind w:right="70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0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68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144" w:lineRule="exact"/>
        <w:rPr>
          <w:sz w:val="20"/>
          <w:szCs w:val="20"/>
          <w:color w:val="auto"/>
        </w:rPr>
      </w:pPr>
    </w:p>
    <w:p>
      <w:pPr>
        <w:ind w:left="580" w:hanging="410"/>
        <w:spacing w:after="0"/>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plc;</w:t>
      </w:r>
    </w:p>
    <w:p>
      <w:pPr>
        <w:spacing w:after="0" w:line="144" w:lineRule="exact"/>
        <w:rPr>
          <w:rFonts w:ascii="Arial" w:cs="Arial" w:eastAsia="Arial" w:hAnsi="Arial"/>
          <w:sz w:val="18"/>
          <w:szCs w:val="18"/>
          <w:color w:val="auto"/>
        </w:rPr>
      </w:pPr>
    </w:p>
    <w:p>
      <w:pPr>
        <w:ind w:left="580" w:right="20" w:hanging="410"/>
        <w:spacing w:after="0" w:line="256"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200" w:hanging="410"/>
        <w:spacing w:after="0" w:line="256"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8"/>
          <w:szCs w:val="18"/>
          <w:color w:val="auto"/>
        </w:rPr>
      </w:pPr>
    </w:p>
    <w:p>
      <w:pPr>
        <w:ind w:left="580" w:right="200" w:hanging="410"/>
        <w:spacing w:after="0" w:line="256" w:lineRule="auto"/>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14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1" w:lineRule="exact"/>
        <w:rPr>
          <w:sz w:val="20"/>
          <w:szCs w:val="20"/>
          <w:color w:val="auto"/>
        </w:rPr>
      </w:pPr>
    </w:p>
    <w:p>
      <w:pPr>
        <w:ind w:left="580" w:right="22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160" w:hanging="248"/>
        <w:spacing w:after="0" w:line="256" w:lineRule="auto"/>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4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420" w:hanging="410"/>
        <w:spacing w:after="0" w:line="256" w:lineRule="auto"/>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340" w:hanging="242"/>
        <w:spacing w:after="0" w:line="261"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sz w:val="20"/>
          <w:szCs w:val="20"/>
          <w:color w:val="auto"/>
        </w:rPr>
      </w:pPr>
    </w:p>
    <w:p>
      <w:pPr>
        <w:ind w:left="580" w:right="580" w:hanging="242"/>
        <w:spacing w:after="0" w:line="261"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pacing w:after="0" w:line="18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03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1" w:lineRule="exact"/>
        <w:rPr>
          <w:sz w:val="20"/>
          <w:szCs w:val="20"/>
          <w:color w:val="auto"/>
        </w:rPr>
      </w:pPr>
    </w:p>
    <w:p>
      <w:pPr>
        <w:jc w:val="center"/>
        <w:ind w:right="708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jc w:val="center"/>
        <w:ind w:right="70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68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In connection with the Annual Report on Form 10-K of Cimpress plc (the “Company”) for the year ended June 30, 2020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left="40"/>
        <w:spacing w:after="0"/>
        <w:tabs>
          <w:tab w:leader="none" w:pos="700" w:val="left"/>
          <w:tab w:leader="none" w:pos="7740" w:val="left"/>
        </w:tabs>
        <w:rPr>
          <w:sz w:val="20"/>
          <w:szCs w:val="20"/>
          <w:color w:val="auto"/>
        </w:rPr>
      </w:pPr>
      <w:r>
        <w:rPr>
          <w:rFonts w:ascii="Arial" w:cs="Arial" w:eastAsia="Arial" w:hAnsi="Arial"/>
          <w:sz w:val="18"/>
          <w:szCs w:val="18"/>
          <w:color w:val="auto"/>
        </w:rPr>
        <w:t>Date:</w:t>
        <w:tab/>
        <w:t>August 11, 2020</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5717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5"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Robert S. Keane</w:t>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Executive Officer</w:t>
      </w:r>
    </w:p>
    <w:p>
      <w:pPr>
        <w:spacing w:after="0" w:line="355" w:lineRule="exact"/>
        <w:rPr>
          <w:sz w:val="20"/>
          <w:szCs w:val="20"/>
          <w:color w:val="auto"/>
        </w:rPr>
      </w:pPr>
    </w:p>
    <w:p>
      <w:pPr>
        <w:ind w:left="40"/>
        <w:spacing w:after="0"/>
        <w:tabs>
          <w:tab w:leader="none" w:pos="700" w:val="left"/>
          <w:tab w:leader="none" w:pos="7820" w:val="left"/>
        </w:tabs>
        <w:rPr>
          <w:sz w:val="20"/>
          <w:szCs w:val="20"/>
          <w:color w:val="auto"/>
        </w:rPr>
      </w:pPr>
      <w:r>
        <w:rPr>
          <w:rFonts w:ascii="Arial" w:cs="Arial" w:eastAsia="Arial" w:hAnsi="Arial"/>
          <w:sz w:val="18"/>
          <w:szCs w:val="18"/>
          <w:color w:val="auto"/>
        </w:rPr>
        <w:t>Date:</w:t>
        <w:tab/>
        <w:t>August 11, 2020</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23495</wp:posOffset>
            </wp:positionV>
            <wp:extent cx="2571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5"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Sean E. Quinn</w:t>
      </w:r>
    </w:p>
    <w:p>
      <w:pPr>
        <w:spacing w:after="0" w:line="5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2"/>
    </w:lvl>
  </w:abstractNum>
  <w:abstractNum w:abstractNumId="4">
    <w:nsid w:val="12E685FB"/>
    <w:multiLevelType w:val="hybridMultilevel"/>
    <w:lvl w:ilvl="0">
      <w:lvlJc w:val="left"/>
      <w:lvlText w:val="%1."/>
      <w:numFmt w:val="decimal"/>
      <w:start w:val="3"/>
    </w:lvl>
  </w:abstractNum>
  <w:abstractNum w:abstractNumId="5">
    <w:nsid w:val="70C6A529"/>
    <w:multiLevelType w:val="hybridMultilevel"/>
    <w:lvl w:ilvl="0">
      <w:lvlJc w:val="left"/>
      <w:lvlText w:val="%1."/>
      <w:numFmt w:val="decimal"/>
      <w:start w:val="5"/>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lowerLetter"/>
      <w:start w:val="1"/>
    </w:lvl>
  </w:abstractNum>
  <w:abstractNum w:abstractNumId="27">
    <w:nsid w:val="310C50B3"/>
    <w:multiLevelType w:val="hybridMultilevel"/>
    <w:lvl w:ilvl="0">
      <w:lvlJc w:val="left"/>
      <w:lvlText w:val="(%1)"/>
      <w:numFmt w:val="lowerLetter"/>
      <w:start w:val="7"/>
    </w:lvl>
  </w:abstractNum>
  <w:abstractNum w:abstractNumId="28">
    <w:nsid w:val="5FF87E05"/>
    <w:multiLevelType w:val="hybridMultilevel"/>
    <w:lvl w:ilvl="0">
      <w:lvlJc w:val="left"/>
      <w:lvlText w:val="(%1)"/>
      <w:numFmt w:val="lowerLetter"/>
      <w:start w:val="1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1)"/>
      <w:numFmt w:val="lowerRoman"/>
      <w:start w:val="3"/>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lowerRoman"/>
      <w:start w:val="2"/>
    </w:lvl>
  </w:abstractNum>
  <w:abstractNum w:abstractNumId="46">
    <w:nsid w:val="661E3F1E"/>
    <w:multiLevelType w:val="hybridMultilevel"/>
    <w:lvl w:ilvl="0">
      <w:lvlJc w:val="left"/>
      <w:lvlText w:val="%1."/>
      <w:numFmt w:val="decimal"/>
      <w:start w:val="2"/>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decimal"/>
      <w:start w:val="1"/>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1"/>
    </w:lvl>
  </w:abstractNum>
  <w:abstractNum w:abstractNumId="67">
    <w:nsid w:val="100F59DC"/>
    <w:multiLevelType w:val="hybridMultilevel"/>
    <w:lvl w:ilvl="0">
      <w:lvlJc w:val="left"/>
      <w:lvlText w:val="•"/>
      <w:numFmt w:val="bullet"/>
      <w:start w:val="1"/>
    </w:lvl>
    <w:lvl w:ilvl="1">
      <w:lvlJc w:val="left"/>
      <w:lvlText w:val="◦"/>
      <w:numFmt w:val="bullet"/>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decimal"/>
      <w:start w:val="1"/>
    </w:lvl>
  </w:abstractNum>
  <w:abstractNum w:abstractNumId="73">
    <w:nsid w:val="76272110"/>
    <w:multiLevelType w:val="hybridMultilevel"/>
    <w:lvl w:ilvl="0">
      <w:lvlJc w:val="left"/>
      <w:lvlText w:val="%1."/>
      <w:numFmt w:val="decimal"/>
      <w:start w:val="18"/>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1"/>
      <w:numFmt w:val="decimal"/>
      <w:start w:val="101"/>
    </w:lvl>
  </w:abstractNum>
  <w:abstractNum w:abstractNumId="77">
    <w:nsid w:val="3222E7CD"/>
    <w:multiLevelType w:val="hybridMultilevel"/>
    <w:lvl w:ilvl="0">
      <w:lvlJc w:val="left"/>
      <w:lvlText w:val="%1"/>
      <w:numFmt w:val="lowerLetter"/>
      <w:start w:val="1"/>
    </w:lvl>
    <w:lvl w:ilvl="1">
      <w:lvlJc w:val="left"/>
      <w:lvlText w:val="%2"/>
      <w:numFmt w:val="decimal"/>
      <w:start w:val="104"/>
    </w:lvl>
    <w:lvl w:ilvl="2">
      <w:lvlJc w:val="left"/>
      <w:lvlText w:val="*"/>
      <w:numFmt w:val="bullet"/>
      <w:start w:val="1"/>
    </w:lvl>
  </w:abstractNum>
  <w:abstractNum w:abstractNumId="78">
    <w:nsid w:val="74DE0EE3"/>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1."/>
      <w:numFmt w:val="decimal"/>
      <w:start w:val="2"/>
    </w:lvl>
    <w:lvl w:ilvl="1">
      <w:lvlJc w:val="left"/>
      <w:lvlText w:val="(%2)"/>
      <w:numFmt w:val="lowerLetter"/>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1)"/>
      <w:numFmt w:val="lowerLetter"/>
      <w:start w:val="2"/>
    </w:lvl>
  </w:abstractNum>
  <w:abstractNum w:abstractNumId="83">
    <w:nsid w:val="39EE015C"/>
    <w:multiLevelType w:val="hybridMultilevel"/>
    <w:lvl w:ilvl="0">
      <w:lvlJc w:val="left"/>
      <w:lvlText w:val="%1."/>
      <w:numFmt w:val="decimal"/>
      <w:start w:val="4"/>
    </w:lvl>
    <w:lvl w:ilvl="1">
      <w:lvlJc w:val="left"/>
      <w:lvlText w:val="(%2)"/>
      <w:numFmt w:val="lowerLetter"/>
      <w:start w:val="1"/>
    </w:lvl>
  </w:abstractNum>
  <w:abstractNum w:abstractNumId="84">
    <w:nsid w:val="57FC4FBB"/>
    <w:multiLevelType w:val="hybridMultilevel"/>
    <w:lvl w:ilvl="0">
      <w:lvlJc w:val="left"/>
      <w:lvlText w:val="%1."/>
      <w:numFmt w:val="decimal"/>
      <w:start w:val="6"/>
    </w:lvl>
    <w:lvl w:ilvl="1">
      <w:lvlJc w:val="left"/>
      <w:lvlText w:val="(%2)"/>
      <w:numFmt w:val="lowerLetter"/>
      <w:start w:val="1"/>
    </w:lvl>
  </w:abstractNum>
  <w:abstractNum w:abstractNumId="85">
    <w:nsid w:val="CC1016F"/>
    <w:multiLevelType w:val="hybridMultilevel"/>
    <w:lvl w:ilvl="0">
      <w:lvlJc w:val="left"/>
      <w:lvlText w:val="%1"/>
      <w:numFmt w:val="decimal"/>
      <w:start w:val="1"/>
    </w:lvl>
    <w:lvl w:ilvl="1">
      <w:lvlJc w:val="left"/>
      <w:lvlText w:val="(%2)"/>
      <w:numFmt w:val="lowerLetter"/>
      <w:start w:val="10"/>
    </w:lvl>
  </w:abstractNum>
  <w:abstractNum w:abstractNumId="86">
    <w:nsid w:val="43F18422"/>
    <w:multiLevelType w:val="hybridMultilevel"/>
    <w:lvl w:ilvl="0">
      <w:lvlJc w:val="left"/>
      <w:lvlText w:val="%1."/>
      <w:numFmt w:val="decimal"/>
      <w:start w:val="10"/>
    </w:lvl>
    <w:lvl w:ilvl="1">
      <w:lvlJc w:val="left"/>
      <w:lvlText w:val="(%2)"/>
      <w:numFmt w:val="lowerLetter"/>
      <w:start w:val="1"/>
    </w:lvl>
  </w:abstractNum>
  <w:abstractNum w:abstractNumId="87">
    <w:nsid w:val="60EF0119"/>
    <w:multiLevelType w:val="hybridMultilevel"/>
    <w:lvl w:ilvl="0">
      <w:lvlJc w:val="left"/>
      <w:lvlText w:val="(%1)"/>
      <w:numFmt w:val="lowerLetter"/>
      <w:start w:val="4"/>
    </w:lvl>
  </w:abstractNum>
  <w:abstractNum w:abstractNumId="88">
    <w:nsid w:val="26F324B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9">
    <w:nsid w:val="7F01579B"/>
    <w:multiLevelType w:val="hybridMultilevel"/>
    <w:lvl w:ilvl="0">
      <w:lvlJc w:val="left"/>
      <w:lvlText w:val="%1"/>
      <w:numFmt w:val="decimal"/>
      <w:start w:val="1"/>
    </w:lvl>
    <w:lvl w:ilvl="1">
      <w:lvlJc w:val="left"/>
      <w:lvlText w:val="(%2)"/>
      <w:numFmt w:val="lowerLetter"/>
      <w:start w:val="3"/>
    </w:lvl>
  </w:abstractNum>
  <w:abstractNum w:abstractNumId="90">
    <w:nsid w:val="49DA307D"/>
    <w:multiLevelType w:val="hybridMultilevel"/>
    <w:lvl w:ilvl="0">
      <w:lvlJc w:val="left"/>
      <w:lvlText w:val="%1"/>
      <w:numFmt w:val="decimal"/>
      <w:start w:val="30"/>
    </w:lvl>
    <w:lvl w:ilvl="1">
      <w:lvlJc w:val="left"/>
      <w:lvlText w:val="%2"/>
      <w:numFmt w:val="lowerLetter"/>
      <w:start w:val="1"/>
    </w:lvl>
  </w:abstractNum>
  <w:abstractNum w:abstractNumId="91">
    <w:nsid w:val="7055A5F5"/>
    <w:multiLevelType w:val="hybridMultilevel"/>
    <w:lvl w:ilvl="0">
      <w:lvlJc w:val="left"/>
      <w:lvlText w:val="%1."/>
      <w:numFmt w:val="decimal"/>
      <w:start w:val="13"/>
    </w:lvl>
    <w:lvl w:ilvl="1">
      <w:lvlJc w:val="left"/>
      <w:lvlText w:val="(%2)"/>
      <w:numFmt w:val="lowerLetter"/>
      <w:start w:val="1"/>
    </w:lvl>
  </w:abstractNum>
  <w:abstractNum w:abstractNumId="92">
    <w:nsid w:val="5FB8370B"/>
    <w:multiLevelType w:val="hybridMultilevel"/>
    <w:lvl w:ilvl="0">
      <w:lvlJc w:val="left"/>
      <w:lvlText w:val="%1."/>
      <w:numFmt w:val="decimal"/>
      <w:start w:val="14"/>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1)"/>
      <w:numFmt w:val="lowerLetter"/>
      <w:start w:val="3"/>
    </w:lvl>
  </w:abstractNum>
  <w:abstractNum w:abstractNumId="95">
    <w:nsid w:val="5FB8011C"/>
    <w:multiLevelType w:val="hybridMultilevel"/>
    <w:lvl w:ilvl="0">
      <w:lvlJc w:val="left"/>
      <w:lvlText w:val="%1."/>
      <w:numFmt w:val="decimal"/>
      <w:start w:val="5"/>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lowerLetter"/>
      <w:start w:val="3"/>
    </w:lvl>
  </w:abstractNum>
  <w:abstractNum w:abstractNumId="98">
    <w:nsid w:val="6FC75AF8"/>
    <w:multiLevelType w:val="hybridMultilevel"/>
    <w:lvl w:ilvl="0">
      <w:lvlJc w:val="left"/>
      <w:lvlText w:val="%1."/>
      <w:numFmt w:val="decimal"/>
      <w:start w:val="5"/>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77" Type="http://schemas.openxmlformats.org/officeDocument/2006/relationships/image" Target="media/image28.png"/><Relationship Id="rId78" Type="http://schemas.openxmlformats.org/officeDocument/2006/relationships/image" Target="media/image29.png"/><Relationship Id="rId79" Type="http://schemas.openxmlformats.org/officeDocument/2006/relationships/image" Target="media/image30.png"/><Relationship Id="rId80" Type="http://schemas.openxmlformats.org/officeDocument/2006/relationships/image" Target="media/image31.png"/><Relationship Id="rId81" Type="http://schemas.openxmlformats.org/officeDocument/2006/relationships/image" Target="media/image32.png"/><Relationship Id="rId35" Type="http://schemas.openxmlformats.org/officeDocument/2006/relationships/hyperlink" Target="http://www.sec.gov/Archives/edgar/data/1262976/000119312519249647/d791273dex21.htm" TargetMode="External"/><Relationship Id="rId36" Type="http://schemas.openxmlformats.org/officeDocument/2006/relationships/hyperlink" Target="http://www.sec.gov/Archives/edgar/data/1262976/000119312519257660/d756088ddefm14a.htm#toc756088_52" TargetMode="External"/><Relationship Id="rId37" Type="http://schemas.openxmlformats.org/officeDocument/2006/relationships/hyperlink" Target="http://www.sec.gov/Archives/edgar/data/1262976/000126297618000043/ex41indenture.htm" TargetMode="External"/><Relationship Id="rId38" Type="http://schemas.openxmlformats.org/officeDocument/2006/relationships/hyperlink" Target="http://www.sec.gov/Archives/edgar/data/1262976/000126297620000007/ex41secondsupplemental.htm" TargetMode="External"/><Relationship Id="rId39" Type="http://schemas.openxmlformats.org/officeDocument/2006/relationships/hyperlink" Target="http://www.sec.gov/Archives/edgar/data/1262976/000126297620000021/ex101-creditagreement0.htm" TargetMode="External"/><Relationship Id="rId40" Type="http://schemas.openxmlformats.org/officeDocument/2006/relationships/hyperlink" Target="http://www.sec.gov/Archives/edgar/data/1262976/000126297620000040/exh41-seniorsecurednot.htm" TargetMode="External"/><Relationship Id="rId41" Type="http://schemas.openxmlformats.org/officeDocument/2006/relationships/hyperlink" Target="http://www.sec.gov/Archives/edgar/data/1262976/000126297620000040/exh42formofwarrant.htm" TargetMode="External"/><Relationship Id="rId42" Type="http://schemas.openxmlformats.org/officeDocument/2006/relationships/hyperlink" Target="http://www.sec.gov/Archives/edgar/data/1262976/000119312519305373/d841671dex106.htm" TargetMode="External"/><Relationship Id="rId43" Type="http://schemas.openxmlformats.org/officeDocument/2006/relationships/hyperlink" Target="http://www.sec.gov/Archives/edgar/data/1262976/000119312509218946/dex104.htm" TargetMode="External"/><Relationship Id="rId44" Type="http://schemas.openxmlformats.org/officeDocument/2006/relationships/hyperlink" Target="http://www.sec.gov/Archives/edgar/data/1262976/000119312519305373/d841671dex105.htm" TargetMode="External"/><Relationship Id="rId45" Type="http://schemas.openxmlformats.org/officeDocument/2006/relationships/hyperlink" Target="http://www.sec.gov/Archives/edgar/data/1262976/000119312509218946/dex105.htm" TargetMode="External"/><Relationship Id="rId46" Type="http://schemas.openxmlformats.org/officeDocument/2006/relationships/hyperlink" Target="http://www.sec.gov/Archives/edgar/data/1262976/000119312519305373/d841671dex104.htm" TargetMode="External"/><Relationship Id="rId47" Type="http://schemas.openxmlformats.org/officeDocument/2006/relationships/hyperlink" Target="http://www.sec.gov/Archives/edgar/data/1262976/000095012311093030/b87964exv10w3.htm" TargetMode="External"/><Relationship Id="rId48" Type="http://schemas.openxmlformats.org/officeDocument/2006/relationships/hyperlink" Target="http://www.sec.gov/Archives/edgar/data/1262976/000126297618000103/shareawardagreement.htm" TargetMode="External"/><Relationship Id="rId49" Type="http://schemas.openxmlformats.org/officeDocument/2006/relationships/hyperlink" Target="http://www.sec.gov/Archives/edgar/data/1262976/000119312519305373/d841671dex103.htm" TargetMode="External"/><Relationship Id="rId50" Type="http://schemas.openxmlformats.org/officeDocument/2006/relationships/hyperlink" Target="http://www.sec.gov/Archives/edgar/data/1262976/000126297620000007/ex105psuagmtemployees.htm" TargetMode="External"/><Relationship Id="rId51" Type="http://schemas.openxmlformats.org/officeDocument/2006/relationships/hyperlink" Target="http://www.sec.gov/Archives/edgar/data/1262976/000126297620000007/ex106psuagmtceo.htm" TargetMode="External"/><Relationship Id="rId52" Type="http://schemas.openxmlformats.org/officeDocument/2006/relationships/hyperlink" Target="http://www.sec.gov/Archives/edgar/data/1262976/000126297620000007/ex107psuagmtbod.htm" TargetMode="External"/><Relationship Id="rId53" Type="http://schemas.openxmlformats.org/officeDocument/2006/relationships/hyperlink" Target="http://www.sec.gov/Archives/edgar/data/1262976/000126297617000034/exhibit101supplementalpsua.htm" TargetMode="External"/><Relationship Id="rId54" Type="http://schemas.openxmlformats.org/officeDocument/2006/relationships/hyperlink" Target="http://www.sec.gov/Archives/edgar/data/1262976/000126297615000008/cmprex109inducementsharepl.htm" TargetMode="External"/><Relationship Id="rId55" Type="http://schemas.openxmlformats.org/officeDocument/2006/relationships/hyperlink" Target="http://www.sec.gov/Archives/edgar/data/1262976/000126297615000008/cmprex1010forminducementrsa.htm" TargetMode="External"/><Relationship Id="rId56" Type="http://schemas.openxmlformats.org/officeDocument/2006/relationships/hyperlink" Target="https://www.sec.gov/Archives/edgar/data/1262976/000126297620000003/a101bodindemnification.htm" TargetMode="External"/><Relationship Id="rId57" Type="http://schemas.openxmlformats.org/officeDocument/2006/relationships/hyperlink" Target="http://www.sec.gov/Archives/edgar/data/1262976/000126297620000003/a102eoindemnificationd.htm" TargetMode="External"/><Relationship Id="rId58" Type="http://schemas.openxmlformats.org/officeDocument/2006/relationships/hyperlink" Target="http://www.sec.gov/Archives/edgar/data/1262976/000126297620000003/a103bodindemnification.htm" TargetMode="External"/><Relationship Id="rId59" Type="http://schemas.openxmlformats.org/officeDocument/2006/relationships/hyperlink" Target="http://www.sec.gov/Archives/edgar/data/1262976/000126297620000003/a104eoindemnificationa.htm" TargetMode="External"/><Relationship Id="rId60" Type="http://schemas.openxmlformats.org/officeDocument/2006/relationships/hyperlink" Target="http://www.sec.gov/Archives/edgar/data/1262976/000119312509218946/dex107.htm" TargetMode="External"/><Relationship Id="rId61" Type="http://schemas.openxmlformats.org/officeDocument/2006/relationships/hyperlink" Target="http://www.sec.gov/Archives/edgar/data/1262976/000126297616000081/ex104.htm" TargetMode="External"/><Relationship Id="rId62" Type="http://schemas.openxmlformats.org/officeDocument/2006/relationships/hyperlink" Target="http://www.sec.gov/Archives/edgar/data/1262976/000095012310081849/b80590exv10w19.htm" TargetMode="External"/><Relationship Id="rId63" Type="http://schemas.openxmlformats.org/officeDocument/2006/relationships/hyperlink" Target="http://www.sec.gov/Archives/edgar/data/1262976/000126297616000064/psulimitationagmtex101.htm" TargetMode="External"/><Relationship Id="rId64" Type="http://schemas.openxmlformats.org/officeDocument/2006/relationships/hyperlink" Target="http://www.sec.gov/Archives/edgar/data/1262976/000119312505190875/dex1022.htm" TargetMode="External"/><Relationship Id="rId65" Type="http://schemas.openxmlformats.org/officeDocument/2006/relationships/hyperlink" Target="http://www.sec.gov/Archives/edgar/data/1262976/000119312505190875/dex1023.htm" TargetMode="External"/><Relationship Id="rId66" Type="http://schemas.openxmlformats.org/officeDocument/2006/relationships/hyperlink" Target="http://www.sec.gov/Archives/edgar/data/1262976/000126297617000020/ex101amendmentandrestateme.htm" TargetMode="External"/><Relationship Id="rId67" Type="http://schemas.openxmlformats.org/officeDocument/2006/relationships/hyperlink" Target="http://www.sec.gov/Archives/edgar/data/1262976/000126297618000043/ex101-creditagreement1.htm" TargetMode="External"/><Relationship Id="rId68" Type="http://schemas.openxmlformats.org/officeDocument/2006/relationships/hyperlink" Target="http://www.sec.gov/Archives/edgar/data/1262976/000126297619000002/amendmentno2creditagreement.htm" TargetMode="External"/><Relationship Id="rId69" Type="http://schemas.openxmlformats.org/officeDocument/2006/relationships/hyperlink" Target="http://www.sec.gov/Archives/edgar/data/1262976/000126297620000021/ex42thirdsupplementali.htm" TargetMode="External"/><Relationship Id="rId70" Type="http://schemas.openxmlformats.org/officeDocument/2006/relationships/hyperlink" Target="http://www.sec.gov/Archives/edgar/data/1262976/000119312520127232/d916026dex101.htm" TargetMode="External"/><Relationship Id="rId71" Type="http://schemas.openxmlformats.org/officeDocument/2006/relationships/hyperlink" Target="http://www.sec.gov/Archives/edgar/data/1262976/000126297617000020/ex102secondarguaranty.htm" TargetMode="External"/><Relationship Id="rId72" Type="http://schemas.openxmlformats.org/officeDocument/2006/relationships/hyperlink" Target="http://www.sec.gov/Archives/edgar/data/1262976/000126297620000007/ex108borrowerassumptio.htm" TargetMode="External"/><Relationship Id="rId73" Type="http://schemas.openxmlformats.org/officeDocument/2006/relationships/hyperlink" Target="http://www.sec.gov/Archives/edgar/data/1262976/000126297617000020/ex103pledgeandsecurityagre.htm" TargetMode="External"/><Relationship Id="rId74" Type="http://schemas.openxmlformats.org/officeDocument/2006/relationships/hyperlink" Target="http://www.sec.gov/Archives/edgar/data/1262976/000119312520127232/d916026dex102.htm" TargetMode="External"/><Relationship Id="rId75" Type="http://schemas.openxmlformats.org/officeDocument/2006/relationships/hyperlink" Target="http://www.sec.gov/Archives/edgar/data/1262976/000126297620000040/exh101pledgeandsecurit.htm" TargetMode="External"/><Relationship Id="rId76" Type="http://schemas.openxmlformats.org/officeDocument/2006/relationships/hyperlink" Target="http://www.sec.gov/Archives/edgar/data/1262976/000126297620000040/exh102intercreditor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2020-08-11T08:46:23Z</dcterms:created>
  <dcterms:modified xsi:type="dcterms:W3CDTF">2020-08-11T08:46:23Z</dcterms:modified>
</cp:coreProperties>
</file>