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135495.xml.htm"/>
      <w:bookmarkStart w:id="1" w:name="kswkform4_17791354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Wensveen Maarten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CIMPRESS PLC, FIRST FLOOR BUILDING 3</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FINNABAIR BUSINESS &amp; TECHNOLOGY PARK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DUNDALK, COUNTY LOUTH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L2</w:t>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CIMPRESS plc</w:t>
              </w:r>
            </w:hyperlink>
            <w:r>
              <w:rPr/>
              <w:t xml:space="preserve"> [ </w:t>
            </w:r>
            <w:r>
              <w:rPr>
                <w:rFonts w:ascii="Times;serif" w:hAnsi="Times;serif"/>
                <w:color w:val="0000FF"/>
                <w:sz w:val="24"/>
                <w:shd w:fill="FFFFFF" w:val="clear"/>
              </w:rPr>
              <w:t>CMPR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7"/>
        <w:gridCol w:w="906"/>
        <w:gridCol w:w="775"/>
        <w:gridCol w:w="602"/>
        <w:gridCol w:w="351"/>
        <w:gridCol w:w="853"/>
        <w:gridCol w:w="459"/>
        <w:gridCol w:w="759"/>
        <w:gridCol w:w="1172"/>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21,534</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r>
              <w:rPr/>
              <w:t xml:space="preserve"> </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25,231</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1,303</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r>
              <w:rPr/>
              <w:t xml:space="preserve"> </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26,534</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93.25</w:t>
            </w:r>
            <w:r>
              <w:rPr/>
              <w:t xml:space="preserve"> </w:t>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23,252</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1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861"/>
        <w:gridCol w:w="68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(right to acquire)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1,860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08/15/2023</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3,697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08/15/2024</w:t>
            </w: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08/15/2027</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18,484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08/15/2025</w:t>
            </w: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08/15/2028</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11,727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acquired automatically vested pursuant to an award of restricted share units (RSUs), with each RSU representing Cimpress' commitment to issue one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acquired automatically vested pursuant to an award of performance share units (PSUs), with each PSU representing Cimpress' commitment to issue one ordinary share following the determination of the number of shares issuable pursuant to the award based on the level of achievement against the performance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RSUs vest over the following four-year period: 25% of the original number of RSUs granted vest on the Date Exercisable in Table II and 6.25% of such number of RSUs vest quarterly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PSUs vest over the following four-year period: 25% of the number of shares determined to be issuable pursuant to the award based on the level of achievement against the performance conditions vest on the Date Exercisable shown in Table II and 6.25% of such number of shares vest quarterly thereafter.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Sean E. Quinn, as attorney-in-fact for Maarten Wensveen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6117" TargetMode="External"/><Relationship Id="rId5" Type="http://schemas.openxmlformats.org/officeDocument/2006/relationships/hyperlink" Target="http://www.sec.gov/cgi-bin/browse-edgar?action=getcompany&amp;CIK=00012629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811</Words>
  <Characters>4405</Characters>
  <CharactersWithSpaces>5104</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